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E20091" w14:paraId="6E95E325" w14:textId="77777777" w:rsidTr="00546129">
        <w:trPr>
          <w:trHeight w:val="1440"/>
        </w:trPr>
        <w:tc>
          <w:tcPr>
            <w:tcW w:w="2381" w:type="dxa"/>
            <w:tcBorders>
              <w:top w:val="nil"/>
              <w:left w:val="nil"/>
              <w:bottom w:val="nil"/>
              <w:right w:val="nil"/>
            </w:tcBorders>
          </w:tcPr>
          <w:p w14:paraId="179E39C7" w14:textId="77777777" w:rsidR="00E20091" w:rsidRDefault="00E20091" w:rsidP="00546129">
            <w:pPr>
              <w:pStyle w:val="ZCom"/>
            </w:pPr>
            <w:r>
              <w:rPr>
                <w:noProof/>
                <w:sz w:val="20"/>
                <w:szCs w:val="20"/>
              </w:rPr>
              <w:drawing>
                <wp:inline distT="0" distB="0" distL="0" distR="0" wp14:anchorId="012796F1" wp14:editId="66D658EA">
                  <wp:extent cx="1362710" cy="6731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710" cy="673100"/>
                          </a:xfrm>
                          <a:prstGeom prst="rect">
                            <a:avLst/>
                          </a:prstGeom>
                          <a:noFill/>
                          <a:ln>
                            <a:noFill/>
                          </a:ln>
                        </pic:spPr>
                      </pic:pic>
                    </a:graphicData>
                  </a:graphic>
                </wp:inline>
              </w:drawing>
            </w:r>
          </w:p>
        </w:tc>
        <w:tc>
          <w:tcPr>
            <w:tcW w:w="7087" w:type="dxa"/>
            <w:tcBorders>
              <w:top w:val="nil"/>
              <w:left w:val="nil"/>
              <w:bottom w:val="nil"/>
              <w:right w:val="nil"/>
            </w:tcBorders>
          </w:tcPr>
          <w:p w14:paraId="2C1B50F3" w14:textId="77777777" w:rsidR="00E20091" w:rsidRDefault="00E20091" w:rsidP="00546129">
            <w:pPr>
              <w:pStyle w:val="ZCom"/>
              <w:spacing w:before="90"/>
            </w:pPr>
            <w:r>
              <w:t>EUROPEAN CO</w:t>
            </w:r>
            <w:bookmarkStart w:id="0" w:name="_GoBack"/>
            <w:bookmarkEnd w:id="0"/>
            <w:r>
              <w:t>MMISSION</w:t>
            </w:r>
          </w:p>
          <w:p w14:paraId="2EFD42F6" w14:textId="77777777" w:rsidR="00E20091" w:rsidRDefault="00E20091" w:rsidP="00546129">
            <w:pPr>
              <w:pStyle w:val="ZDGName"/>
            </w:pPr>
            <w:r>
              <w:t>DIRECTORATE-GENERAL</w:t>
            </w:r>
          </w:p>
          <w:p w14:paraId="44FE9230" w14:textId="77777777" w:rsidR="00E20091" w:rsidRDefault="00E20091" w:rsidP="00546129">
            <w:pPr>
              <w:pStyle w:val="ZDGName"/>
            </w:pPr>
            <w:r>
              <w:t>JOINT RESEARCH CENTRE</w:t>
            </w:r>
          </w:p>
          <w:p w14:paraId="753B0577" w14:textId="77777777" w:rsidR="00E20091" w:rsidRDefault="00E20091" w:rsidP="00546129">
            <w:pPr>
              <w:pStyle w:val="ZDGName"/>
            </w:pPr>
            <w:r>
              <w:t>Directorate B – Growth and Innovation</w:t>
            </w:r>
          </w:p>
          <w:p w14:paraId="744D91C0" w14:textId="77777777" w:rsidR="00E20091" w:rsidRDefault="00E20091" w:rsidP="00546129">
            <w:pPr>
              <w:pStyle w:val="ZDGName"/>
            </w:pPr>
            <w:r>
              <w:rPr>
                <w:b/>
                <w:bCs/>
              </w:rPr>
              <w:t>Circular Economy and Industrial Leadership</w:t>
            </w:r>
          </w:p>
          <w:p w14:paraId="5EDD65C3" w14:textId="77777777" w:rsidR="00E20091" w:rsidRDefault="00E20091" w:rsidP="00546129">
            <w:pPr>
              <w:pStyle w:val="ZDGName"/>
            </w:pPr>
          </w:p>
        </w:tc>
      </w:tr>
    </w:tbl>
    <w:p w14:paraId="07380592" w14:textId="77777777" w:rsidR="00E20091" w:rsidRDefault="00E20091" w:rsidP="00E20091">
      <w:pPr>
        <w:pStyle w:val="Date"/>
      </w:pPr>
      <w:proofErr w:type="spellStart"/>
      <w:r>
        <w:rPr>
          <w:rStyle w:val="field-view"/>
          <w:lang w:eastAsia="en-GB"/>
        </w:rPr>
        <w:t>Sevilla</w:t>
      </w:r>
      <w:proofErr w:type="spellEnd"/>
      <w:r w:rsidRPr="00684417">
        <w:rPr>
          <w:rStyle w:val="field-view"/>
          <w:lang w:eastAsia="en-GB"/>
        </w:rPr>
        <w:t xml:space="preserve">, </w:t>
      </w:r>
      <w:r>
        <w:rPr>
          <w:rStyle w:val="field-view"/>
          <w:lang w:eastAsia="en-GB"/>
        </w:rPr>
        <w:t>11</w:t>
      </w:r>
      <w:r w:rsidRPr="00E20091">
        <w:rPr>
          <w:rStyle w:val="field-view"/>
          <w:vertAlign w:val="superscript"/>
          <w:lang w:eastAsia="en-GB"/>
        </w:rPr>
        <w:t>th</w:t>
      </w:r>
      <w:r>
        <w:rPr>
          <w:rStyle w:val="field-view"/>
          <w:lang w:eastAsia="en-GB"/>
        </w:rPr>
        <w:t xml:space="preserve"> November 2020</w:t>
      </w:r>
      <w:r>
        <w:br/>
      </w:r>
    </w:p>
    <w:p w14:paraId="0B3A60B9" w14:textId="77777777" w:rsidR="00E20091" w:rsidRDefault="00E20091" w:rsidP="00E20091">
      <w:pPr>
        <w:pStyle w:val="References"/>
      </w:pPr>
    </w:p>
    <w:p w14:paraId="599D52E7" w14:textId="77777777" w:rsidR="00E20091" w:rsidRDefault="00E20091" w:rsidP="00E20091">
      <w:pPr>
        <w:jc w:val="center"/>
        <w:rPr>
          <w:b/>
          <w:u w:val="single"/>
        </w:rPr>
      </w:pPr>
      <w:r>
        <w:rPr>
          <w:b/>
          <w:u w:val="single"/>
        </w:rPr>
        <w:t>EU Ecolabel for Retail Financial Products</w:t>
      </w:r>
    </w:p>
    <w:p w14:paraId="03823C84" w14:textId="77777777" w:rsidR="00E20091" w:rsidRDefault="00E20091" w:rsidP="00E20091">
      <w:pPr>
        <w:jc w:val="center"/>
        <w:rPr>
          <w:rFonts w:cstheme="minorHAnsi"/>
          <w:b/>
          <w:color w:val="000000" w:themeColor="text1"/>
        </w:rPr>
      </w:pPr>
      <w:r>
        <w:rPr>
          <w:b/>
        </w:rPr>
        <w:t>Criterion 1 portfolio ‘greenness’ calculation: supporting information and clarifications</w:t>
      </w:r>
    </w:p>
    <w:p w14:paraId="36584A34" w14:textId="77777777" w:rsidR="00DF5B45" w:rsidRDefault="00DF5B45"/>
    <w:p w14:paraId="742373D8" w14:textId="77777777" w:rsidR="00E20091" w:rsidRDefault="00E20091"/>
    <w:p w14:paraId="0F202633" w14:textId="77777777" w:rsidR="005C0671" w:rsidRDefault="00912187">
      <w:r>
        <w:t>Following some initial feedback from stakeholders, t</w:t>
      </w:r>
      <w:r w:rsidR="005C0671">
        <w:t xml:space="preserve">his note provides clarification on how the formula for calculating the portfolio contribution of equity holdings works. </w:t>
      </w:r>
      <w:r>
        <w:t xml:space="preserve">A correction is also made to the definition of how ‘green capex’ shall be calculated. </w:t>
      </w:r>
      <w:r w:rsidR="005C0671">
        <w:t xml:space="preserve"> </w:t>
      </w:r>
      <w:r>
        <w:t xml:space="preserve">The note is supported by an excel which </w:t>
      </w:r>
      <w:r w:rsidR="00CA53A5">
        <w:t xml:space="preserve">illustrates how </w:t>
      </w:r>
      <w:r>
        <w:t xml:space="preserve">the portfolio contribution </w:t>
      </w:r>
      <w:r w:rsidR="00CA53A5">
        <w:t xml:space="preserve">is calculated </w:t>
      </w:r>
      <w:r>
        <w:t>for two hypothetical portfolios.</w:t>
      </w:r>
    </w:p>
    <w:p w14:paraId="5F662866" w14:textId="77777777" w:rsidR="005C0671" w:rsidRDefault="005C0671"/>
    <w:p w14:paraId="6D28C1E5" w14:textId="77777777" w:rsidR="00E20091" w:rsidRPr="00912187" w:rsidRDefault="00912187" w:rsidP="00912187">
      <w:pPr>
        <w:pStyle w:val="NormalWeb"/>
        <w:rPr>
          <w:i/>
          <w:u w:val="single"/>
        </w:rPr>
      </w:pPr>
      <w:r>
        <w:rPr>
          <w:i/>
          <w:u w:val="single"/>
        </w:rPr>
        <w:t>Calculation  rules for equity portfolio contributions under sub-criterion 1.1.A/B/D</w:t>
      </w:r>
    </w:p>
    <w:p w14:paraId="4FA35D29" w14:textId="77777777" w:rsidR="00E20091" w:rsidRDefault="00E20091" w:rsidP="00E20091">
      <w:pPr>
        <w:pStyle w:val="NormalWeb"/>
        <w:ind w:left="720"/>
        <w:rPr>
          <w:rFonts w:ascii="Calibri" w:hAnsi="Calibri" w:cs="Calibri"/>
          <w:color w:val="006FC9"/>
          <w:sz w:val="22"/>
          <w:szCs w:val="22"/>
          <w:lang w:val="en-GB"/>
        </w:rPr>
      </w:pPr>
    </w:p>
    <w:p w14:paraId="4939C82F" w14:textId="77777777" w:rsidR="00912187" w:rsidRDefault="00912187" w:rsidP="00912187">
      <w:pPr>
        <w:pStyle w:val="xmsonormal"/>
        <w:rPr>
          <w:rFonts w:ascii="Calibri" w:hAnsi="Calibri" w:cs="Calibri"/>
          <w:i/>
          <w:iCs/>
          <w:color w:val="212121"/>
          <w:sz w:val="22"/>
          <w:szCs w:val="22"/>
          <w:lang w:val="en-GB"/>
        </w:rPr>
      </w:pPr>
      <w:r w:rsidRPr="00912187">
        <w:rPr>
          <w:rFonts w:ascii="Calibri" w:hAnsi="Calibri" w:cs="Calibri"/>
          <w:iCs/>
          <w:color w:val="212121"/>
          <w:sz w:val="22"/>
          <w:szCs w:val="22"/>
          <w:lang w:val="en-GB"/>
        </w:rPr>
        <w:t xml:space="preserve">For </w:t>
      </w:r>
      <w:r w:rsidRPr="00912187">
        <w:rPr>
          <w:rFonts w:ascii="Calibri" w:hAnsi="Calibri" w:cs="Calibri"/>
          <w:color w:val="000000"/>
          <w:sz w:val="22"/>
          <w:szCs w:val="22"/>
          <w:lang w:val="en-GB"/>
        </w:rPr>
        <w:t xml:space="preserve">companies investing in transition or investing in green growth the </w:t>
      </w:r>
      <w:r>
        <w:rPr>
          <w:rFonts w:ascii="Calibri" w:hAnsi="Calibri" w:cs="Calibri"/>
          <w:color w:val="000000"/>
          <w:sz w:val="22"/>
          <w:szCs w:val="22"/>
          <w:lang w:val="en-GB"/>
        </w:rPr>
        <w:t>definition of</w:t>
      </w:r>
      <w:r w:rsidRPr="00912187">
        <w:rPr>
          <w:rFonts w:ascii="Calibri" w:hAnsi="Calibri" w:cs="Calibri"/>
          <w:color w:val="000000"/>
          <w:sz w:val="22"/>
          <w:szCs w:val="22"/>
          <w:lang w:val="en-GB"/>
        </w:rPr>
        <w:t xml:space="preserve"> </w:t>
      </w:r>
      <w:proofErr w:type="spellStart"/>
      <w:r w:rsidRPr="00912187">
        <w:rPr>
          <w:rFonts w:ascii="Calibri" w:hAnsi="Calibri" w:cs="Calibri"/>
          <w:color w:val="000000"/>
          <w:sz w:val="22"/>
          <w:szCs w:val="22"/>
          <w:lang w:val="en-GB"/>
        </w:rPr>
        <w:t>GCi</w:t>
      </w:r>
      <w:proofErr w:type="spellEnd"/>
      <w:r w:rsidRPr="00912187">
        <w:rPr>
          <w:rFonts w:ascii="Calibri" w:hAnsi="Calibri" w:cs="Calibri"/>
          <w:color w:val="000000"/>
          <w:sz w:val="22"/>
          <w:szCs w:val="22"/>
          <w:lang w:val="en-GB"/>
        </w:rPr>
        <w:t xml:space="preserve"> (Green</w:t>
      </w:r>
      <w:r>
        <w:rPr>
          <w:rFonts w:ascii="Calibri" w:hAnsi="Calibri" w:cs="Calibri"/>
          <w:color w:val="000000"/>
          <w:sz w:val="22"/>
          <w:szCs w:val="22"/>
          <w:lang w:val="en-GB"/>
        </w:rPr>
        <w:t xml:space="preserve"> Capex) and Green Revenue Growth (</w:t>
      </w:r>
      <w:proofErr w:type="spellStart"/>
      <w:r>
        <w:rPr>
          <w:rFonts w:ascii="Calibri" w:hAnsi="Calibri" w:cs="Calibri"/>
          <w:color w:val="000000"/>
          <w:sz w:val="22"/>
          <w:szCs w:val="22"/>
          <w:lang w:val="en-GB"/>
        </w:rPr>
        <w:t>GRGi</w:t>
      </w:r>
      <w:proofErr w:type="spellEnd"/>
      <w:r>
        <w:rPr>
          <w:rFonts w:ascii="Calibri" w:hAnsi="Calibri" w:cs="Calibri"/>
          <w:color w:val="000000"/>
          <w:sz w:val="22"/>
          <w:szCs w:val="22"/>
          <w:lang w:val="en-GB"/>
        </w:rPr>
        <w:t>) are clarified as follows</w:t>
      </w:r>
      <w:r w:rsidR="00387AE8">
        <w:rPr>
          <w:rFonts w:ascii="Calibri" w:hAnsi="Calibri" w:cs="Calibri"/>
          <w:color w:val="000000"/>
          <w:sz w:val="22"/>
          <w:szCs w:val="22"/>
          <w:lang w:val="en-GB"/>
        </w:rPr>
        <w:t xml:space="preserve">, replacing the reference in each case to cumulative percentages for </w:t>
      </w:r>
      <w:proofErr w:type="spellStart"/>
      <w:r w:rsidR="00387AE8">
        <w:rPr>
          <w:rFonts w:ascii="Calibri" w:hAnsi="Calibri" w:cs="Calibri"/>
          <w:color w:val="000000"/>
          <w:sz w:val="22"/>
          <w:szCs w:val="22"/>
          <w:lang w:val="en-GB"/>
        </w:rPr>
        <w:t>GCi</w:t>
      </w:r>
      <w:proofErr w:type="spellEnd"/>
      <w:r w:rsidR="00387AE8">
        <w:rPr>
          <w:rFonts w:ascii="Calibri" w:hAnsi="Calibri" w:cs="Calibri"/>
          <w:color w:val="000000"/>
          <w:sz w:val="22"/>
          <w:szCs w:val="22"/>
          <w:lang w:val="en-GB"/>
        </w:rPr>
        <w:t xml:space="preserve"> or </w:t>
      </w:r>
      <w:proofErr w:type="spellStart"/>
      <w:r w:rsidR="00387AE8">
        <w:rPr>
          <w:rFonts w:ascii="Calibri" w:hAnsi="Calibri" w:cs="Calibri"/>
          <w:color w:val="000000"/>
          <w:sz w:val="22"/>
          <w:szCs w:val="22"/>
          <w:lang w:val="en-GB"/>
        </w:rPr>
        <w:t>GRGi</w:t>
      </w:r>
      <w:proofErr w:type="spellEnd"/>
      <w:r>
        <w:rPr>
          <w:rFonts w:ascii="Calibri" w:hAnsi="Calibri" w:cs="Calibri"/>
          <w:color w:val="000000"/>
          <w:sz w:val="22"/>
          <w:szCs w:val="22"/>
          <w:lang w:val="en-GB"/>
        </w:rPr>
        <w:t>:</w:t>
      </w:r>
    </w:p>
    <w:p w14:paraId="48C18831" w14:textId="77777777" w:rsidR="00912187" w:rsidRDefault="00912187" w:rsidP="00912187">
      <w:pPr>
        <w:pStyle w:val="xmsonormal"/>
        <w:rPr>
          <w:rFonts w:ascii="Calibri" w:hAnsi="Calibri" w:cs="Calibri"/>
          <w:i/>
          <w:iCs/>
          <w:color w:val="212121"/>
          <w:sz w:val="22"/>
          <w:szCs w:val="22"/>
          <w:lang w:val="en-GB"/>
        </w:rPr>
      </w:pPr>
    </w:p>
    <w:p w14:paraId="4392A6D4" w14:textId="77777777" w:rsidR="00912187" w:rsidRDefault="00912187" w:rsidP="00912187">
      <w:pPr>
        <w:pStyle w:val="xmsonormal"/>
        <w:rPr>
          <w:rFonts w:ascii="Calibri" w:hAnsi="Calibri" w:cs="Calibri"/>
          <w:color w:val="006FC9"/>
          <w:sz w:val="22"/>
          <w:szCs w:val="22"/>
          <w:lang w:val="en-GB"/>
        </w:rPr>
      </w:pPr>
      <w:proofErr w:type="spellStart"/>
      <w:r>
        <w:rPr>
          <w:rFonts w:ascii="Calibri" w:hAnsi="Calibri" w:cs="Calibri"/>
          <w:i/>
          <w:iCs/>
          <w:color w:val="212121"/>
          <w:sz w:val="22"/>
          <w:szCs w:val="22"/>
          <w:lang w:val="en-GB"/>
        </w:rPr>
        <w:t>GCi</w:t>
      </w:r>
      <w:proofErr w:type="spellEnd"/>
      <w:r>
        <w:rPr>
          <w:rFonts w:ascii="Calibri" w:hAnsi="Calibri" w:cs="Calibri"/>
          <w:i/>
          <w:iCs/>
          <w:color w:val="212121"/>
          <w:sz w:val="22"/>
          <w:szCs w:val="22"/>
          <w:lang w:val="en-GB"/>
        </w:rPr>
        <w:t xml:space="preserve">   =  </w:t>
      </w:r>
      <w:r w:rsidRPr="00387AE8">
        <w:rPr>
          <w:rFonts w:ascii="Calibri" w:hAnsi="Calibri" w:cs="Calibri"/>
          <w:i/>
          <w:iCs/>
          <w:color w:val="212121"/>
          <w:sz w:val="22"/>
          <w:szCs w:val="22"/>
          <w:u w:val="single"/>
          <w:lang w:val="en-GB"/>
        </w:rPr>
        <w:t>Average</w:t>
      </w:r>
      <w:r>
        <w:rPr>
          <w:rFonts w:ascii="Calibri" w:hAnsi="Calibri" w:cs="Calibri"/>
          <w:i/>
          <w:iCs/>
          <w:color w:val="212121"/>
          <w:sz w:val="22"/>
          <w:szCs w:val="22"/>
          <w:lang w:val="en-GB"/>
        </w:rPr>
        <w:t xml:space="preserve"> green Capex %  during a 5 year period [2 years back and 3 years forward looking period]</w:t>
      </w:r>
    </w:p>
    <w:p w14:paraId="6C16E37C" w14:textId="77777777" w:rsidR="00912187" w:rsidRDefault="00912187" w:rsidP="00912187">
      <w:pPr>
        <w:pStyle w:val="xmsonormal"/>
        <w:rPr>
          <w:rFonts w:ascii="Calibri" w:hAnsi="Calibri" w:cs="Calibri"/>
          <w:color w:val="006FC9"/>
          <w:sz w:val="22"/>
          <w:szCs w:val="22"/>
          <w:lang w:val="en-GB"/>
        </w:rPr>
      </w:pPr>
      <w:proofErr w:type="spellStart"/>
      <w:r>
        <w:rPr>
          <w:rFonts w:ascii="Calibri" w:hAnsi="Calibri" w:cs="Calibri"/>
          <w:i/>
          <w:iCs/>
          <w:color w:val="212121"/>
          <w:sz w:val="22"/>
          <w:szCs w:val="22"/>
          <w:lang w:val="en-GB"/>
        </w:rPr>
        <w:t>GRGi</w:t>
      </w:r>
      <w:proofErr w:type="spellEnd"/>
      <w:r>
        <w:rPr>
          <w:rFonts w:ascii="Calibri" w:hAnsi="Calibri" w:cs="Calibri"/>
          <w:i/>
          <w:iCs/>
          <w:color w:val="212121"/>
          <w:sz w:val="22"/>
          <w:szCs w:val="22"/>
          <w:lang w:val="en-GB"/>
        </w:rPr>
        <w:t xml:space="preserve"> = </w:t>
      </w:r>
      <w:r w:rsidRPr="00387AE8">
        <w:rPr>
          <w:rFonts w:ascii="Calibri" w:hAnsi="Calibri" w:cs="Calibri"/>
          <w:i/>
          <w:iCs/>
          <w:color w:val="212121"/>
          <w:sz w:val="22"/>
          <w:szCs w:val="22"/>
          <w:u w:val="single"/>
          <w:lang w:val="en-GB"/>
        </w:rPr>
        <w:t>Sum of the percentage green revenue growth each year</w:t>
      </w:r>
      <w:r>
        <w:rPr>
          <w:rFonts w:ascii="Calibri" w:hAnsi="Calibri" w:cs="Calibri"/>
          <w:i/>
          <w:iCs/>
          <w:color w:val="212121"/>
          <w:sz w:val="22"/>
          <w:szCs w:val="22"/>
          <w:lang w:val="en-GB"/>
        </w:rPr>
        <w:t> over a 5 year forward looking period</w:t>
      </w:r>
    </w:p>
    <w:p w14:paraId="45220F65" w14:textId="77777777" w:rsidR="00912187" w:rsidRDefault="00912187" w:rsidP="00912187">
      <w:pPr>
        <w:pStyle w:val="xmsonormal"/>
        <w:rPr>
          <w:rFonts w:ascii="Calibri" w:hAnsi="Calibri" w:cs="Calibri"/>
          <w:color w:val="006FC9"/>
          <w:sz w:val="22"/>
          <w:szCs w:val="22"/>
          <w:lang w:val="en-GB"/>
        </w:rPr>
      </w:pPr>
      <w:proofErr w:type="spellStart"/>
      <w:r>
        <w:rPr>
          <w:rFonts w:ascii="Calibri" w:hAnsi="Calibri" w:cs="Calibri"/>
          <w:i/>
          <w:iCs/>
          <w:color w:val="212121"/>
          <w:sz w:val="22"/>
          <w:szCs w:val="22"/>
          <w:lang w:val="en-GB"/>
        </w:rPr>
        <w:t>GRi</w:t>
      </w:r>
      <w:proofErr w:type="spellEnd"/>
      <w:r>
        <w:rPr>
          <w:rFonts w:ascii="Calibri" w:hAnsi="Calibri" w:cs="Calibri"/>
          <w:i/>
          <w:iCs/>
          <w:color w:val="212121"/>
          <w:sz w:val="22"/>
          <w:szCs w:val="22"/>
          <w:lang w:val="en-GB"/>
        </w:rPr>
        <w:t>    =  Green revenue %</w:t>
      </w:r>
    </w:p>
    <w:p w14:paraId="46B57F91" w14:textId="77777777" w:rsidR="00912187" w:rsidRDefault="00912187" w:rsidP="00912187">
      <w:pPr>
        <w:rPr>
          <w:rFonts w:ascii="Calibri" w:hAnsi="Calibri" w:cs="Calibri"/>
          <w:color w:val="000000"/>
          <w:sz w:val="22"/>
          <w:szCs w:val="22"/>
          <w:lang w:val="en-GB"/>
        </w:rPr>
      </w:pPr>
    </w:p>
    <w:p w14:paraId="3BEBAA67" w14:textId="77777777" w:rsidR="00912187" w:rsidRDefault="00912187" w:rsidP="00912187">
      <w:pPr>
        <w:rPr>
          <w:rFonts w:ascii="Calibri" w:hAnsi="Calibri" w:cs="Calibri"/>
          <w:color w:val="000000"/>
          <w:sz w:val="22"/>
          <w:szCs w:val="22"/>
          <w:lang w:val="en-GB"/>
        </w:rPr>
      </w:pPr>
      <w:r w:rsidRPr="00912187">
        <w:rPr>
          <w:rFonts w:ascii="Calibri" w:hAnsi="Calibri" w:cs="Calibri"/>
          <w:iCs/>
          <w:color w:val="212121"/>
          <w:sz w:val="22"/>
          <w:szCs w:val="22"/>
          <w:lang w:val="en-GB"/>
        </w:rPr>
        <w:t xml:space="preserve">For </w:t>
      </w:r>
      <w:r w:rsidRPr="00912187">
        <w:rPr>
          <w:rFonts w:ascii="Calibri" w:hAnsi="Calibri" w:cs="Calibri"/>
          <w:color w:val="000000"/>
          <w:sz w:val="22"/>
          <w:szCs w:val="22"/>
          <w:lang w:val="en-GB"/>
        </w:rPr>
        <w:t xml:space="preserve">companies investing in transition or investing in green growth the </w:t>
      </w:r>
      <w:r>
        <w:rPr>
          <w:rFonts w:ascii="Calibri" w:hAnsi="Calibri" w:cs="Calibri"/>
          <w:color w:val="000000"/>
          <w:sz w:val="22"/>
          <w:szCs w:val="22"/>
          <w:lang w:val="en-GB"/>
        </w:rPr>
        <w:t>calculation rules applying to</w:t>
      </w:r>
      <w:r w:rsidRPr="00912187">
        <w:rPr>
          <w:rFonts w:ascii="Calibri" w:hAnsi="Calibri" w:cs="Calibri"/>
          <w:color w:val="000000"/>
          <w:sz w:val="22"/>
          <w:szCs w:val="22"/>
          <w:lang w:val="en-GB"/>
        </w:rPr>
        <w:t xml:space="preserve"> </w:t>
      </w:r>
      <w:proofErr w:type="spellStart"/>
      <w:r w:rsidRPr="00912187">
        <w:rPr>
          <w:rFonts w:ascii="Calibri" w:hAnsi="Calibri" w:cs="Calibri"/>
          <w:color w:val="000000"/>
          <w:sz w:val="22"/>
          <w:szCs w:val="22"/>
          <w:lang w:val="en-GB"/>
        </w:rPr>
        <w:t>GCi</w:t>
      </w:r>
      <w:proofErr w:type="spellEnd"/>
      <w:r w:rsidRPr="00912187">
        <w:rPr>
          <w:rFonts w:ascii="Calibri" w:hAnsi="Calibri" w:cs="Calibri"/>
          <w:color w:val="000000"/>
          <w:sz w:val="22"/>
          <w:szCs w:val="22"/>
          <w:lang w:val="en-GB"/>
        </w:rPr>
        <w:t xml:space="preserve"> (Green</w:t>
      </w:r>
      <w:r>
        <w:rPr>
          <w:rFonts w:ascii="Calibri" w:hAnsi="Calibri" w:cs="Calibri"/>
          <w:color w:val="000000"/>
          <w:sz w:val="22"/>
          <w:szCs w:val="22"/>
          <w:lang w:val="en-GB"/>
        </w:rPr>
        <w:t xml:space="preserve"> Capex) and Green Revenue Growth (</w:t>
      </w:r>
      <w:proofErr w:type="spellStart"/>
      <w:r>
        <w:rPr>
          <w:rFonts w:ascii="Calibri" w:hAnsi="Calibri" w:cs="Calibri"/>
          <w:color w:val="000000"/>
          <w:sz w:val="22"/>
          <w:szCs w:val="22"/>
          <w:lang w:val="en-GB"/>
        </w:rPr>
        <w:t>GRGi</w:t>
      </w:r>
      <w:proofErr w:type="spellEnd"/>
      <w:r>
        <w:rPr>
          <w:rFonts w:ascii="Calibri" w:hAnsi="Calibri" w:cs="Calibri"/>
          <w:color w:val="000000"/>
          <w:sz w:val="22"/>
          <w:szCs w:val="22"/>
          <w:lang w:val="en-GB"/>
        </w:rPr>
        <w:t>) For and the Portfolio Contribution (</w:t>
      </w:r>
      <w:proofErr w:type="spellStart"/>
      <w:r>
        <w:rPr>
          <w:rFonts w:ascii="Calibri" w:hAnsi="Calibri" w:cs="Calibri"/>
          <w:color w:val="000000"/>
          <w:sz w:val="22"/>
          <w:szCs w:val="22"/>
          <w:lang w:val="en-GB"/>
        </w:rPr>
        <w:t>PCi</w:t>
      </w:r>
      <w:proofErr w:type="spellEnd"/>
      <w:r>
        <w:rPr>
          <w:rFonts w:ascii="Calibri" w:hAnsi="Calibri" w:cs="Calibri"/>
          <w:color w:val="000000"/>
          <w:sz w:val="22"/>
          <w:szCs w:val="22"/>
          <w:lang w:val="en-GB"/>
        </w:rPr>
        <w:t>) to Greenness (G) are as follows:</w:t>
      </w:r>
    </w:p>
    <w:p w14:paraId="5AF50B41" w14:textId="77777777" w:rsidR="00E20091" w:rsidRDefault="00E20091" w:rsidP="00912187">
      <w:pPr>
        <w:rPr>
          <w:rFonts w:ascii="Calibri" w:hAnsi="Calibri" w:cs="Calibri"/>
          <w:color w:val="006FC9"/>
          <w:sz w:val="22"/>
          <w:szCs w:val="22"/>
          <w:lang w:val="en-GB"/>
        </w:rPr>
      </w:pPr>
      <w:r>
        <w:rPr>
          <w:rFonts w:ascii="Calibri" w:hAnsi="Calibri" w:cs="Calibri"/>
          <w:color w:val="006FC9"/>
          <w:sz w:val="22"/>
          <w:szCs w:val="22"/>
          <w:lang w:val="en-GB"/>
        </w:rPr>
        <w:br/>
      </w:r>
      <w:r>
        <w:rPr>
          <w:rFonts w:ascii="Calibri" w:hAnsi="Calibri" w:cs="Calibri"/>
          <w:color w:val="000000"/>
          <w:sz w:val="22"/>
          <w:szCs w:val="22"/>
          <w:lang w:val="en-GB"/>
        </w:rPr>
        <w:t xml:space="preserve">    </w:t>
      </w:r>
      <w:proofErr w:type="spellStart"/>
      <w:r>
        <w:rPr>
          <w:rFonts w:ascii="Calibri" w:hAnsi="Calibri" w:cs="Calibri"/>
          <w:color w:val="000000"/>
          <w:sz w:val="22"/>
          <w:szCs w:val="22"/>
          <w:lang w:val="en-GB"/>
        </w:rPr>
        <w:t>GCi</w:t>
      </w:r>
      <w:proofErr w:type="spellEnd"/>
      <w:r>
        <w:rPr>
          <w:rFonts w:ascii="Calibri" w:hAnsi="Calibri" w:cs="Calibri"/>
          <w:color w:val="000000"/>
          <w:sz w:val="22"/>
          <w:szCs w:val="22"/>
          <w:lang w:val="en-GB"/>
        </w:rPr>
        <w:t>&gt;</w:t>
      </w:r>
      <w:r w:rsidR="003329DC">
        <w:rPr>
          <w:rFonts w:ascii="Calibri" w:hAnsi="Calibri" w:cs="Calibri"/>
          <w:color w:val="000000"/>
          <w:sz w:val="22"/>
          <w:szCs w:val="22"/>
          <w:lang w:val="en-GB"/>
        </w:rPr>
        <w:t>=</w:t>
      </w:r>
      <w:proofErr w:type="spellStart"/>
      <w:r>
        <w:rPr>
          <w:rFonts w:ascii="Calibri" w:hAnsi="Calibri" w:cs="Calibri"/>
          <w:color w:val="000000"/>
          <w:sz w:val="22"/>
          <w:szCs w:val="22"/>
          <w:lang w:val="en-GB"/>
        </w:rPr>
        <w:t>GRGi</w:t>
      </w:r>
      <w:proofErr w:type="spellEnd"/>
      <w:r>
        <w:rPr>
          <w:rFonts w:ascii="Calibri" w:hAnsi="Calibri" w:cs="Calibri"/>
          <w:color w:val="000000"/>
          <w:sz w:val="22"/>
          <w:szCs w:val="22"/>
          <w:lang w:val="en-GB"/>
        </w:rPr>
        <w:t xml:space="preserve"> &amp;  </w:t>
      </w:r>
      <w:proofErr w:type="spellStart"/>
      <w:r>
        <w:rPr>
          <w:rFonts w:ascii="Calibri" w:hAnsi="Calibri" w:cs="Calibri"/>
          <w:color w:val="000000"/>
          <w:sz w:val="22"/>
          <w:szCs w:val="22"/>
          <w:lang w:val="en-GB"/>
        </w:rPr>
        <w:t>GCi</w:t>
      </w:r>
      <w:proofErr w:type="spellEnd"/>
      <w:r w:rsidR="003329DC">
        <w:rPr>
          <w:rFonts w:ascii="Calibri" w:hAnsi="Calibri" w:cs="Calibri"/>
          <w:color w:val="000000"/>
          <w:sz w:val="22"/>
          <w:szCs w:val="22"/>
          <w:lang w:val="en-GB"/>
        </w:rPr>
        <w:t>=</w:t>
      </w:r>
      <w:r>
        <w:rPr>
          <w:rFonts w:ascii="Calibri" w:hAnsi="Calibri" w:cs="Calibri"/>
          <w:color w:val="000000"/>
          <w:sz w:val="22"/>
          <w:szCs w:val="22"/>
          <w:lang w:val="en-GB"/>
        </w:rPr>
        <w:t>&lt;</w:t>
      </w:r>
      <w:proofErr w:type="spellStart"/>
      <w:r>
        <w:rPr>
          <w:rFonts w:ascii="Calibri" w:hAnsi="Calibri" w:cs="Calibri"/>
          <w:color w:val="000000"/>
          <w:sz w:val="22"/>
          <w:szCs w:val="22"/>
          <w:lang w:val="en-GB"/>
        </w:rPr>
        <w:t>GRi</w:t>
      </w:r>
      <w:proofErr w:type="spellEnd"/>
      <w:r>
        <w:rPr>
          <w:rFonts w:ascii="Calibri" w:hAnsi="Calibri" w:cs="Calibri"/>
          <w:color w:val="000000"/>
          <w:sz w:val="22"/>
          <w:szCs w:val="22"/>
          <w:lang w:val="en-GB"/>
        </w:rPr>
        <w:t xml:space="preserve">       then    G = </w:t>
      </w:r>
      <w:proofErr w:type="spellStart"/>
      <w:r>
        <w:rPr>
          <w:rFonts w:ascii="Calibri" w:hAnsi="Calibri" w:cs="Calibri"/>
          <w:color w:val="000000"/>
          <w:sz w:val="22"/>
          <w:szCs w:val="22"/>
          <w:lang w:val="en-GB"/>
        </w:rPr>
        <w:t>PCi</w:t>
      </w:r>
      <w:proofErr w:type="spellEnd"/>
      <w:r>
        <w:rPr>
          <w:rFonts w:ascii="Calibri" w:hAnsi="Calibri" w:cs="Calibri"/>
          <w:color w:val="000000"/>
          <w:sz w:val="22"/>
          <w:szCs w:val="22"/>
          <w:lang w:val="en-GB"/>
        </w:rPr>
        <w:t xml:space="preserve"> x </w:t>
      </w:r>
      <w:proofErr w:type="spellStart"/>
      <w:r>
        <w:rPr>
          <w:rFonts w:ascii="Calibri" w:hAnsi="Calibri" w:cs="Calibri"/>
          <w:color w:val="000000"/>
          <w:sz w:val="22"/>
          <w:szCs w:val="22"/>
          <w:lang w:val="en-GB"/>
        </w:rPr>
        <w:t>GRi</w:t>
      </w:r>
      <w:proofErr w:type="spellEnd"/>
      <w:r>
        <w:rPr>
          <w:rFonts w:ascii="Calibri" w:hAnsi="Calibri" w:cs="Calibri"/>
          <w:color w:val="000000"/>
          <w:sz w:val="22"/>
          <w:szCs w:val="22"/>
          <w:lang w:val="en-GB"/>
        </w:rPr>
        <w:t> </w:t>
      </w:r>
      <w:r>
        <w:rPr>
          <w:rFonts w:ascii="Calibri" w:hAnsi="Calibri" w:cs="Calibri"/>
          <w:color w:val="006FC9"/>
          <w:sz w:val="22"/>
          <w:szCs w:val="22"/>
          <w:lang w:val="en-GB"/>
        </w:rPr>
        <w:br/>
      </w:r>
      <w:r>
        <w:rPr>
          <w:rFonts w:ascii="Calibri" w:hAnsi="Calibri" w:cs="Calibri"/>
          <w:color w:val="006FC9"/>
          <w:sz w:val="22"/>
          <w:szCs w:val="22"/>
          <w:lang w:val="en-GB"/>
        </w:rPr>
        <w:br/>
      </w:r>
      <w:r>
        <w:rPr>
          <w:rFonts w:ascii="Calibri" w:hAnsi="Calibri" w:cs="Calibri"/>
          <w:color w:val="000000"/>
          <w:sz w:val="22"/>
          <w:szCs w:val="22"/>
          <w:lang w:val="en-GB"/>
        </w:rPr>
        <w:t xml:space="preserve">    </w:t>
      </w:r>
      <w:proofErr w:type="spellStart"/>
      <w:r>
        <w:rPr>
          <w:rFonts w:ascii="Calibri" w:hAnsi="Calibri" w:cs="Calibri"/>
          <w:color w:val="000000"/>
          <w:sz w:val="22"/>
          <w:szCs w:val="22"/>
          <w:lang w:val="en-GB"/>
        </w:rPr>
        <w:t>GCi</w:t>
      </w:r>
      <w:proofErr w:type="spellEnd"/>
      <w:r>
        <w:rPr>
          <w:rFonts w:ascii="Calibri" w:hAnsi="Calibri" w:cs="Calibri"/>
          <w:color w:val="000000"/>
          <w:sz w:val="22"/>
          <w:szCs w:val="22"/>
          <w:lang w:val="en-GB"/>
        </w:rPr>
        <w:t>&gt;</w:t>
      </w:r>
      <w:r w:rsidR="003329DC">
        <w:rPr>
          <w:rFonts w:ascii="Calibri" w:hAnsi="Calibri" w:cs="Calibri"/>
          <w:color w:val="000000"/>
          <w:sz w:val="22"/>
          <w:szCs w:val="22"/>
          <w:lang w:val="en-GB"/>
        </w:rPr>
        <w:t>=</w:t>
      </w:r>
      <w:proofErr w:type="spellStart"/>
      <w:r>
        <w:rPr>
          <w:rFonts w:ascii="Calibri" w:hAnsi="Calibri" w:cs="Calibri"/>
          <w:color w:val="000000"/>
          <w:sz w:val="22"/>
          <w:szCs w:val="22"/>
          <w:lang w:val="en-GB"/>
        </w:rPr>
        <w:t>GRGi</w:t>
      </w:r>
      <w:proofErr w:type="spellEnd"/>
      <w:r>
        <w:rPr>
          <w:rFonts w:ascii="Calibri" w:hAnsi="Calibri" w:cs="Calibri"/>
          <w:color w:val="000000"/>
          <w:sz w:val="22"/>
          <w:szCs w:val="22"/>
          <w:lang w:val="en-GB"/>
        </w:rPr>
        <w:t xml:space="preserve"> &amp;  </w:t>
      </w:r>
      <w:proofErr w:type="spellStart"/>
      <w:r>
        <w:rPr>
          <w:rFonts w:ascii="Calibri" w:hAnsi="Calibri" w:cs="Calibri"/>
          <w:color w:val="000000"/>
          <w:sz w:val="22"/>
          <w:szCs w:val="22"/>
          <w:lang w:val="en-GB"/>
        </w:rPr>
        <w:t>GCi</w:t>
      </w:r>
      <w:proofErr w:type="spellEnd"/>
      <w:r>
        <w:rPr>
          <w:rFonts w:ascii="Calibri" w:hAnsi="Calibri" w:cs="Calibri"/>
          <w:color w:val="000000"/>
          <w:sz w:val="22"/>
          <w:szCs w:val="22"/>
          <w:lang w:val="en-GB"/>
        </w:rPr>
        <w:t>&gt;</w:t>
      </w:r>
      <w:proofErr w:type="spellStart"/>
      <w:r>
        <w:rPr>
          <w:rFonts w:ascii="Calibri" w:hAnsi="Calibri" w:cs="Calibri"/>
          <w:color w:val="000000"/>
          <w:sz w:val="22"/>
          <w:szCs w:val="22"/>
          <w:lang w:val="en-GB"/>
        </w:rPr>
        <w:t>GRi</w:t>
      </w:r>
      <w:proofErr w:type="spellEnd"/>
      <w:r>
        <w:rPr>
          <w:rFonts w:ascii="Calibri" w:hAnsi="Calibri" w:cs="Calibri"/>
          <w:color w:val="000000"/>
          <w:sz w:val="22"/>
          <w:szCs w:val="22"/>
          <w:lang w:val="en-GB"/>
        </w:rPr>
        <w:t xml:space="preserve">        then   G = </w:t>
      </w:r>
      <w:proofErr w:type="spellStart"/>
      <w:r>
        <w:rPr>
          <w:rFonts w:ascii="Calibri" w:hAnsi="Calibri" w:cs="Calibri"/>
          <w:color w:val="000000"/>
          <w:sz w:val="22"/>
          <w:szCs w:val="22"/>
          <w:lang w:val="en-GB"/>
        </w:rPr>
        <w:t>PCi</w:t>
      </w:r>
      <w:proofErr w:type="spellEnd"/>
      <w:r>
        <w:rPr>
          <w:rFonts w:ascii="Calibri" w:hAnsi="Calibri" w:cs="Calibri"/>
          <w:color w:val="000000"/>
          <w:sz w:val="22"/>
          <w:szCs w:val="22"/>
          <w:lang w:val="en-GB"/>
        </w:rPr>
        <w:t xml:space="preserve"> (0.6 </w:t>
      </w:r>
      <w:proofErr w:type="spellStart"/>
      <w:r>
        <w:rPr>
          <w:rFonts w:ascii="Calibri" w:hAnsi="Calibri" w:cs="Calibri"/>
          <w:color w:val="000000"/>
          <w:sz w:val="22"/>
          <w:szCs w:val="22"/>
          <w:lang w:val="en-GB"/>
        </w:rPr>
        <w:t>GRi</w:t>
      </w:r>
      <w:proofErr w:type="spellEnd"/>
      <w:r>
        <w:rPr>
          <w:rFonts w:ascii="Calibri" w:hAnsi="Calibri" w:cs="Calibri"/>
          <w:color w:val="000000"/>
          <w:sz w:val="22"/>
          <w:szCs w:val="22"/>
          <w:lang w:val="en-GB"/>
        </w:rPr>
        <w:t xml:space="preserve"> </w:t>
      </w:r>
      <w:r w:rsidR="003329DC">
        <w:rPr>
          <w:rFonts w:ascii="Calibri" w:hAnsi="Calibri" w:cs="Calibri"/>
          <w:color w:val="000000"/>
          <w:sz w:val="22"/>
          <w:szCs w:val="22"/>
          <w:lang w:val="en-GB"/>
        </w:rPr>
        <w:t>+</w:t>
      </w:r>
      <w:r>
        <w:rPr>
          <w:rFonts w:ascii="Calibri" w:hAnsi="Calibri" w:cs="Calibri"/>
          <w:color w:val="000000"/>
          <w:sz w:val="22"/>
          <w:szCs w:val="22"/>
          <w:lang w:val="en-GB"/>
        </w:rPr>
        <w:t xml:space="preserve"> 0.4 </w:t>
      </w:r>
      <w:proofErr w:type="spellStart"/>
      <w:r>
        <w:rPr>
          <w:rFonts w:ascii="Calibri" w:hAnsi="Calibri" w:cs="Calibri"/>
          <w:color w:val="000000"/>
          <w:sz w:val="22"/>
          <w:szCs w:val="22"/>
          <w:lang w:val="en-GB"/>
        </w:rPr>
        <w:t>GCi</w:t>
      </w:r>
      <w:proofErr w:type="spellEnd"/>
      <w:r>
        <w:rPr>
          <w:rFonts w:ascii="Calibri" w:hAnsi="Calibri" w:cs="Calibri"/>
          <w:color w:val="000000"/>
          <w:sz w:val="22"/>
          <w:szCs w:val="22"/>
          <w:lang w:val="en-GB"/>
        </w:rPr>
        <w:t>)</w:t>
      </w:r>
      <w:r>
        <w:rPr>
          <w:rFonts w:ascii="Calibri" w:hAnsi="Calibri" w:cs="Calibri"/>
          <w:color w:val="006FC9"/>
          <w:sz w:val="22"/>
          <w:szCs w:val="22"/>
          <w:lang w:val="en-GB"/>
        </w:rPr>
        <w:br/>
      </w:r>
      <w:r>
        <w:rPr>
          <w:rFonts w:ascii="Calibri" w:hAnsi="Calibri" w:cs="Calibri"/>
          <w:color w:val="006FC9"/>
          <w:sz w:val="22"/>
          <w:szCs w:val="22"/>
          <w:lang w:val="en-GB"/>
        </w:rPr>
        <w:br/>
      </w:r>
      <w:r>
        <w:rPr>
          <w:rFonts w:ascii="Calibri" w:hAnsi="Calibri" w:cs="Calibri"/>
          <w:color w:val="000000"/>
          <w:sz w:val="22"/>
          <w:szCs w:val="22"/>
          <w:lang w:val="en-GB"/>
        </w:rPr>
        <w:t>    </w:t>
      </w:r>
      <w:proofErr w:type="spellStart"/>
      <w:r>
        <w:rPr>
          <w:rFonts w:ascii="Calibri" w:hAnsi="Calibri" w:cs="Calibri"/>
          <w:color w:val="000000"/>
          <w:sz w:val="22"/>
          <w:szCs w:val="22"/>
          <w:lang w:val="en-GB"/>
        </w:rPr>
        <w:t>GCi</w:t>
      </w:r>
      <w:proofErr w:type="spellEnd"/>
      <w:r>
        <w:rPr>
          <w:rFonts w:ascii="Calibri" w:hAnsi="Calibri" w:cs="Calibri"/>
          <w:color w:val="000000"/>
          <w:sz w:val="22"/>
          <w:szCs w:val="22"/>
          <w:lang w:val="en-GB"/>
        </w:rPr>
        <w:t>&lt;</w:t>
      </w:r>
      <w:proofErr w:type="spellStart"/>
      <w:r>
        <w:rPr>
          <w:rFonts w:ascii="Calibri" w:hAnsi="Calibri" w:cs="Calibri"/>
          <w:color w:val="000000"/>
          <w:sz w:val="22"/>
          <w:szCs w:val="22"/>
          <w:lang w:val="en-GB"/>
        </w:rPr>
        <w:t>GRGi</w:t>
      </w:r>
      <w:proofErr w:type="spellEnd"/>
      <w:r>
        <w:rPr>
          <w:rFonts w:ascii="Calibri" w:hAnsi="Calibri" w:cs="Calibri"/>
          <w:color w:val="000000"/>
          <w:sz w:val="22"/>
          <w:szCs w:val="22"/>
          <w:lang w:val="en-GB"/>
        </w:rPr>
        <w:t xml:space="preserve"> &amp;  </w:t>
      </w:r>
      <w:proofErr w:type="spellStart"/>
      <w:r>
        <w:rPr>
          <w:rFonts w:ascii="Calibri" w:hAnsi="Calibri" w:cs="Calibri"/>
          <w:color w:val="000000"/>
          <w:sz w:val="22"/>
          <w:szCs w:val="22"/>
          <w:lang w:val="en-GB"/>
        </w:rPr>
        <w:t>GRGi</w:t>
      </w:r>
      <w:proofErr w:type="spellEnd"/>
      <w:r>
        <w:rPr>
          <w:rFonts w:ascii="Calibri" w:hAnsi="Calibri" w:cs="Calibri"/>
          <w:color w:val="000000"/>
          <w:sz w:val="22"/>
          <w:szCs w:val="22"/>
          <w:lang w:val="en-GB"/>
        </w:rPr>
        <w:t>&gt;</w:t>
      </w:r>
      <w:proofErr w:type="spellStart"/>
      <w:r>
        <w:rPr>
          <w:rFonts w:ascii="Calibri" w:hAnsi="Calibri" w:cs="Calibri"/>
          <w:color w:val="000000"/>
          <w:sz w:val="22"/>
          <w:szCs w:val="22"/>
          <w:lang w:val="en-GB"/>
        </w:rPr>
        <w:t>GRi</w:t>
      </w:r>
      <w:proofErr w:type="spellEnd"/>
      <w:r>
        <w:rPr>
          <w:rFonts w:ascii="Calibri" w:hAnsi="Calibri" w:cs="Calibri"/>
          <w:color w:val="000000"/>
          <w:sz w:val="22"/>
          <w:szCs w:val="22"/>
          <w:lang w:val="en-GB"/>
        </w:rPr>
        <w:t>     then   G =  </w:t>
      </w:r>
      <w:proofErr w:type="spellStart"/>
      <w:r>
        <w:rPr>
          <w:rFonts w:ascii="Calibri" w:hAnsi="Calibri" w:cs="Calibri"/>
          <w:color w:val="000000"/>
          <w:sz w:val="22"/>
          <w:szCs w:val="22"/>
          <w:lang w:val="en-GB"/>
        </w:rPr>
        <w:t>PCi</w:t>
      </w:r>
      <w:proofErr w:type="spellEnd"/>
      <w:r>
        <w:rPr>
          <w:rFonts w:ascii="Calibri" w:hAnsi="Calibri" w:cs="Calibri"/>
          <w:color w:val="000000"/>
          <w:sz w:val="22"/>
          <w:szCs w:val="22"/>
          <w:lang w:val="en-GB"/>
        </w:rPr>
        <w:t xml:space="preserve"> (0.6 </w:t>
      </w:r>
      <w:proofErr w:type="spellStart"/>
      <w:r>
        <w:rPr>
          <w:rFonts w:ascii="Calibri" w:hAnsi="Calibri" w:cs="Calibri"/>
          <w:color w:val="000000"/>
          <w:sz w:val="22"/>
          <w:szCs w:val="22"/>
          <w:lang w:val="en-GB"/>
        </w:rPr>
        <w:t>GRi</w:t>
      </w:r>
      <w:proofErr w:type="spellEnd"/>
      <w:r>
        <w:rPr>
          <w:rFonts w:ascii="Calibri" w:hAnsi="Calibri" w:cs="Calibri"/>
          <w:color w:val="000000"/>
          <w:sz w:val="22"/>
          <w:szCs w:val="22"/>
          <w:lang w:val="en-GB"/>
        </w:rPr>
        <w:t xml:space="preserve"> </w:t>
      </w:r>
      <w:r w:rsidR="003329DC">
        <w:rPr>
          <w:rFonts w:ascii="Calibri" w:hAnsi="Calibri" w:cs="Calibri"/>
          <w:color w:val="000000"/>
          <w:sz w:val="22"/>
          <w:szCs w:val="22"/>
          <w:lang w:val="en-GB"/>
        </w:rPr>
        <w:t>+</w:t>
      </w:r>
      <w:r>
        <w:rPr>
          <w:rFonts w:ascii="Calibri" w:hAnsi="Calibri" w:cs="Calibri"/>
          <w:color w:val="000000"/>
          <w:sz w:val="22"/>
          <w:szCs w:val="22"/>
          <w:lang w:val="en-GB"/>
        </w:rPr>
        <w:t xml:space="preserve"> 0.4 </w:t>
      </w:r>
      <w:proofErr w:type="spellStart"/>
      <w:r>
        <w:rPr>
          <w:rFonts w:ascii="Calibri" w:hAnsi="Calibri" w:cs="Calibri"/>
          <w:color w:val="000000"/>
          <w:sz w:val="22"/>
          <w:szCs w:val="22"/>
          <w:lang w:val="en-GB"/>
        </w:rPr>
        <w:t>GRGi</w:t>
      </w:r>
      <w:proofErr w:type="spellEnd"/>
      <w:r>
        <w:rPr>
          <w:rFonts w:ascii="Calibri" w:hAnsi="Calibri" w:cs="Calibri"/>
          <w:color w:val="000000"/>
          <w:sz w:val="22"/>
          <w:szCs w:val="22"/>
          <w:lang w:val="en-GB"/>
        </w:rPr>
        <w:t>)</w:t>
      </w:r>
      <w:r>
        <w:rPr>
          <w:rFonts w:ascii="Calibri" w:hAnsi="Calibri" w:cs="Calibri"/>
          <w:color w:val="006FC9"/>
          <w:sz w:val="22"/>
          <w:szCs w:val="22"/>
          <w:lang w:val="en-GB"/>
        </w:rPr>
        <w:br/>
      </w:r>
      <w:r>
        <w:rPr>
          <w:rFonts w:ascii="Calibri" w:hAnsi="Calibri" w:cs="Calibri"/>
          <w:color w:val="006FC9"/>
          <w:sz w:val="22"/>
          <w:szCs w:val="22"/>
          <w:lang w:val="en-GB"/>
        </w:rPr>
        <w:br/>
      </w:r>
      <w:r>
        <w:rPr>
          <w:rFonts w:ascii="Calibri" w:hAnsi="Calibri" w:cs="Calibri"/>
          <w:color w:val="000000"/>
          <w:sz w:val="22"/>
          <w:szCs w:val="22"/>
          <w:lang w:val="en-GB"/>
        </w:rPr>
        <w:t xml:space="preserve">    </w:t>
      </w:r>
      <w:proofErr w:type="spellStart"/>
      <w:r>
        <w:rPr>
          <w:rFonts w:ascii="Calibri" w:hAnsi="Calibri" w:cs="Calibri"/>
          <w:color w:val="000000"/>
          <w:sz w:val="22"/>
          <w:szCs w:val="22"/>
          <w:lang w:val="en-GB"/>
        </w:rPr>
        <w:t>GCi</w:t>
      </w:r>
      <w:proofErr w:type="spellEnd"/>
      <w:r>
        <w:rPr>
          <w:rFonts w:ascii="Calibri" w:hAnsi="Calibri" w:cs="Calibri"/>
          <w:color w:val="000000"/>
          <w:sz w:val="22"/>
          <w:szCs w:val="22"/>
          <w:lang w:val="en-GB"/>
        </w:rPr>
        <w:t>&lt;</w:t>
      </w:r>
      <w:proofErr w:type="spellStart"/>
      <w:r>
        <w:rPr>
          <w:rFonts w:ascii="Calibri" w:hAnsi="Calibri" w:cs="Calibri"/>
          <w:color w:val="000000"/>
          <w:sz w:val="22"/>
          <w:szCs w:val="22"/>
          <w:lang w:val="en-GB"/>
        </w:rPr>
        <w:t>GRGi</w:t>
      </w:r>
      <w:proofErr w:type="spellEnd"/>
      <w:r>
        <w:rPr>
          <w:rFonts w:ascii="Calibri" w:hAnsi="Calibri" w:cs="Calibri"/>
          <w:color w:val="000000"/>
          <w:sz w:val="22"/>
          <w:szCs w:val="22"/>
          <w:lang w:val="en-GB"/>
        </w:rPr>
        <w:t xml:space="preserve"> &amp;  </w:t>
      </w:r>
      <w:proofErr w:type="spellStart"/>
      <w:r>
        <w:rPr>
          <w:rFonts w:ascii="Calibri" w:hAnsi="Calibri" w:cs="Calibri"/>
          <w:color w:val="000000"/>
          <w:sz w:val="22"/>
          <w:szCs w:val="22"/>
          <w:lang w:val="en-GB"/>
        </w:rPr>
        <w:t>GRGi</w:t>
      </w:r>
      <w:proofErr w:type="spellEnd"/>
      <w:r w:rsidR="003329DC">
        <w:rPr>
          <w:rFonts w:ascii="Calibri" w:hAnsi="Calibri" w:cs="Calibri"/>
          <w:color w:val="000000"/>
          <w:sz w:val="22"/>
          <w:szCs w:val="22"/>
          <w:lang w:val="en-GB"/>
        </w:rPr>
        <w:t>=</w:t>
      </w:r>
      <w:r>
        <w:rPr>
          <w:rFonts w:ascii="Calibri" w:hAnsi="Calibri" w:cs="Calibri"/>
          <w:color w:val="000000"/>
          <w:sz w:val="22"/>
          <w:szCs w:val="22"/>
          <w:lang w:val="en-GB"/>
        </w:rPr>
        <w:t>&lt;</w:t>
      </w:r>
      <w:proofErr w:type="spellStart"/>
      <w:r>
        <w:rPr>
          <w:rFonts w:ascii="Calibri" w:hAnsi="Calibri" w:cs="Calibri"/>
          <w:color w:val="000000"/>
          <w:sz w:val="22"/>
          <w:szCs w:val="22"/>
          <w:lang w:val="en-GB"/>
        </w:rPr>
        <w:t>GRi</w:t>
      </w:r>
      <w:proofErr w:type="spellEnd"/>
      <w:r>
        <w:rPr>
          <w:rFonts w:ascii="Calibri" w:hAnsi="Calibri" w:cs="Calibri"/>
          <w:color w:val="000000"/>
          <w:sz w:val="22"/>
          <w:szCs w:val="22"/>
          <w:lang w:val="en-GB"/>
        </w:rPr>
        <w:t xml:space="preserve">     then   G =  </w:t>
      </w:r>
      <w:proofErr w:type="spellStart"/>
      <w:r>
        <w:rPr>
          <w:rFonts w:ascii="Calibri" w:hAnsi="Calibri" w:cs="Calibri"/>
          <w:color w:val="000000"/>
          <w:sz w:val="22"/>
          <w:szCs w:val="22"/>
          <w:lang w:val="en-GB"/>
        </w:rPr>
        <w:t>PCi</w:t>
      </w:r>
      <w:proofErr w:type="spellEnd"/>
      <w:r>
        <w:rPr>
          <w:rFonts w:ascii="Calibri" w:hAnsi="Calibri" w:cs="Calibri"/>
          <w:color w:val="000000"/>
          <w:sz w:val="22"/>
          <w:szCs w:val="22"/>
          <w:lang w:val="en-GB"/>
        </w:rPr>
        <w:t xml:space="preserve"> x </w:t>
      </w:r>
      <w:proofErr w:type="spellStart"/>
      <w:r>
        <w:rPr>
          <w:rFonts w:ascii="Calibri" w:hAnsi="Calibri" w:cs="Calibri"/>
          <w:color w:val="000000"/>
          <w:sz w:val="22"/>
          <w:szCs w:val="22"/>
          <w:lang w:val="en-GB"/>
        </w:rPr>
        <w:t>GRi</w:t>
      </w:r>
      <w:proofErr w:type="spellEnd"/>
      <w:r>
        <w:rPr>
          <w:rFonts w:ascii="Calibri" w:hAnsi="Calibri" w:cs="Calibri"/>
          <w:color w:val="006FC9"/>
          <w:sz w:val="22"/>
          <w:szCs w:val="22"/>
          <w:lang w:val="en-GB"/>
        </w:rPr>
        <w:br/>
      </w:r>
      <w:r>
        <w:rPr>
          <w:rFonts w:ascii="Calibri" w:hAnsi="Calibri" w:cs="Calibri"/>
          <w:color w:val="000000"/>
          <w:sz w:val="22"/>
          <w:szCs w:val="22"/>
          <w:lang w:val="en-GB"/>
        </w:rPr>
        <w:t> </w:t>
      </w:r>
      <w:r>
        <w:rPr>
          <w:rFonts w:ascii="Calibri" w:hAnsi="Calibri" w:cs="Calibri"/>
          <w:color w:val="006FC9"/>
          <w:sz w:val="22"/>
          <w:szCs w:val="22"/>
          <w:lang w:val="en-GB"/>
        </w:rPr>
        <w:br/>
      </w:r>
      <w:r>
        <w:rPr>
          <w:rFonts w:ascii="Calibri" w:hAnsi="Calibri" w:cs="Calibri"/>
          <w:color w:val="000000"/>
          <w:sz w:val="22"/>
          <w:szCs w:val="22"/>
          <w:lang w:val="en-GB"/>
        </w:rPr>
        <w:t>  </w:t>
      </w:r>
      <w:r w:rsidR="00912187">
        <w:rPr>
          <w:rFonts w:ascii="Calibri" w:hAnsi="Calibri" w:cs="Calibri"/>
          <w:color w:val="006FC9"/>
          <w:sz w:val="22"/>
          <w:szCs w:val="22"/>
          <w:lang w:val="en-GB"/>
        </w:rPr>
        <w:tab/>
      </w:r>
      <w:r>
        <w:rPr>
          <w:rFonts w:ascii="Calibri" w:hAnsi="Calibri" w:cs="Calibri"/>
          <w:i/>
          <w:iCs/>
          <w:color w:val="000000"/>
          <w:sz w:val="22"/>
          <w:szCs w:val="22"/>
          <w:lang w:val="en-GB"/>
        </w:rPr>
        <w:t> </w:t>
      </w:r>
      <w:proofErr w:type="spellStart"/>
      <w:r>
        <w:rPr>
          <w:rFonts w:ascii="Calibri" w:hAnsi="Calibri" w:cs="Calibri"/>
          <w:i/>
          <w:iCs/>
          <w:color w:val="000000"/>
          <w:sz w:val="22"/>
          <w:szCs w:val="22"/>
          <w:lang w:val="en-GB"/>
        </w:rPr>
        <w:t>GRGi</w:t>
      </w:r>
      <w:proofErr w:type="spellEnd"/>
      <w:r>
        <w:rPr>
          <w:rFonts w:ascii="Calibri" w:hAnsi="Calibri" w:cs="Calibri"/>
          <w:i/>
          <w:iCs/>
          <w:color w:val="000000"/>
          <w:sz w:val="22"/>
          <w:szCs w:val="22"/>
          <w:lang w:val="en-GB"/>
        </w:rPr>
        <w:t xml:space="preserve"> </w:t>
      </w:r>
      <w:r w:rsidR="00912187">
        <w:rPr>
          <w:rFonts w:ascii="Calibri" w:hAnsi="Calibri" w:cs="Calibri"/>
          <w:i/>
          <w:iCs/>
          <w:color w:val="000000"/>
          <w:sz w:val="22"/>
          <w:szCs w:val="22"/>
          <w:lang w:val="en-GB"/>
        </w:rPr>
        <w:t xml:space="preserve">is </w:t>
      </w:r>
      <w:r>
        <w:rPr>
          <w:rFonts w:ascii="Calibri" w:hAnsi="Calibri" w:cs="Calibri"/>
          <w:i/>
          <w:iCs/>
          <w:color w:val="000000"/>
          <w:sz w:val="22"/>
          <w:szCs w:val="22"/>
          <w:lang w:val="en-GB"/>
        </w:rPr>
        <w:t>cap</w:t>
      </w:r>
      <w:r w:rsidR="00912187">
        <w:rPr>
          <w:rFonts w:ascii="Calibri" w:hAnsi="Calibri" w:cs="Calibri"/>
          <w:i/>
          <w:iCs/>
          <w:color w:val="000000"/>
          <w:sz w:val="22"/>
          <w:szCs w:val="22"/>
          <w:lang w:val="en-GB"/>
        </w:rPr>
        <w:t>ped</w:t>
      </w:r>
      <w:r>
        <w:rPr>
          <w:rFonts w:ascii="Calibri" w:hAnsi="Calibri" w:cs="Calibri"/>
          <w:i/>
          <w:iCs/>
          <w:color w:val="000000"/>
          <w:sz w:val="22"/>
          <w:szCs w:val="22"/>
          <w:lang w:val="en-GB"/>
        </w:rPr>
        <w:t xml:space="preserve"> at 100%</w:t>
      </w:r>
      <w:r>
        <w:rPr>
          <w:rFonts w:ascii="Calibri" w:hAnsi="Calibri" w:cs="Calibri"/>
          <w:color w:val="000000"/>
          <w:sz w:val="22"/>
          <w:szCs w:val="22"/>
          <w:lang w:val="en-GB"/>
        </w:rPr>
        <w:t> </w:t>
      </w:r>
    </w:p>
    <w:p w14:paraId="05BDB4A7" w14:textId="77777777" w:rsidR="00E20091" w:rsidRDefault="00E20091" w:rsidP="00E20091">
      <w:pPr>
        <w:ind w:left="720"/>
        <w:rPr>
          <w:rFonts w:ascii="Calibri" w:hAnsi="Calibri" w:cs="Calibri"/>
          <w:color w:val="006FC9"/>
          <w:sz w:val="22"/>
          <w:szCs w:val="22"/>
          <w:lang w:val="en-GB"/>
        </w:rPr>
      </w:pPr>
    </w:p>
    <w:p w14:paraId="59C81DB1" w14:textId="77777777" w:rsidR="00E20091" w:rsidRDefault="00E20091" w:rsidP="00912187">
      <w:pPr>
        <w:pStyle w:val="NormalWeb"/>
        <w:rPr>
          <w:rFonts w:ascii="Calibri" w:hAnsi="Calibri" w:cs="Calibri"/>
          <w:color w:val="006FC9"/>
          <w:sz w:val="22"/>
          <w:szCs w:val="22"/>
          <w:lang w:val="en-GB"/>
        </w:rPr>
      </w:pPr>
      <w:r>
        <w:rPr>
          <w:rFonts w:ascii="Calibri" w:hAnsi="Calibri" w:cs="Calibri"/>
          <w:color w:val="000000"/>
          <w:sz w:val="22"/>
          <w:szCs w:val="22"/>
          <w:lang w:val="en-GB"/>
        </w:rPr>
        <w:t>Companies neither in</w:t>
      </w:r>
      <w:r w:rsidR="00912187">
        <w:rPr>
          <w:rFonts w:ascii="Calibri" w:hAnsi="Calibri" w:cs="Calibri"/>
          <w:color w:val="000000"/>
          <w:sz w:val="22"/>
          <w:szCs w:val="22"/>
          <w:lang w:val="en-GB"/>
        </w:rPr>
        <w:t>vesting</w:t>
      </w:r>
      <w:r>
        <w:rPr>
          <w:rFonts w:ascii="Calibri" w:hAnsi="Calibri" w:cs="Calibri"/>
          <w:color w:val="000000"/>
          <w:sz w:val="22"/>
          <w:szCs w:val="22"/>
          <w:lang w:val="en-GB"/>
        </w:rPr>
        <w:t xml:space="preserve"> transition nor in Green growth </w:t>
      </w:r>
    </w:p>
    <w:p w14:paraId="6D2803E3" w14:textId="77777777" w:rsidR="00E20091" w:rsidRDefault="00E20091" w:rsidP="00E20091">
      <w:pPr>
        <w:pStyle w:val="NormalWeb"/>
        <w:ind w:left="720"/>
        <w:rPr>
          <w:rFonts w:ascii="Calibri" w:hAnsi="Calibri" w:cs="Calibri"/>
          <w:color w:val="006FC9"/>
          <w:sz w:val="22"/>
          <w:szCs w:val="22"/>
          <w:lang w:val="en-GB"/>
        </w:rPr>
      </w:pPr>
      <w:r>
        <w:rPr>
          <w:rFonts w:ascii="Calibri" w:hAnsi="Calibri" w:cs="Calibri"/>
          <w:color w:val="006FC9"/>
          <w:sz w:val="22"/>
          <w:szCs w:val="22"/>
          <w:lang w:val="en-GB"/>
        </w:rPr>
        <w:t>     </w:t>
      </w:r>
      <w:r>
        <w:rPr>
          <w:rFonts w:ascii="Calibri" w:hAnsi="Calibri" w:cs="Calibri"/>
          <w:color w:val="212121"/>
          <w:sz w:val="22"/>
          <w:szCs w:val="22"/>
          <w:lang w:val="en-GB"/>
        </w:rPr>
        <w:t xml:space="preserve">G = </w:t>
      </w:r>
      <w:proofErr w:type="spellStart"/>
      <w:r>
        <w:rPr>
          <w:rFonts w:ascii="Calibri" w:hAnsi="Calibri" w:cs="Calibri"/>
          <w:color w:val="212121"/>
          <w:sz w:val="22"/>
          <w:szCs w:val="22"/>
          <w:lang w:val="en-GB"/>
        </w:rPr>
        <w:t>PCi</w:t>
      </w:r>
      <w:proofErr w:type="spellEnd"/>
      <w:r>
        <w:rPr>
          <w:rFonts w:ascii="Calibri" w:hAnsi="Calibri" w:cs="Calibri"/>
          <w:color w:val="212121"/>
          <w:sz w:val="22"/>
          <w:szCs w:val="22"/>
          <w:lang w:val="en-GB"/>
        </w:rPr>
        <w:t xml:space="preserve"> x </w:t>
      </w:r>
      <w:proofErr w:type="spellStart"/>
      <w:r>
        <w:rPr>
          <w:rFonts w:ascii="Calibri" w:hAnsi="Calibri" w:cs="Calibri"/>
          <w:color w:val="212121"/>
          <w:sz w:val="22"/>
          <w:szCs w:val="22"/>
          <w:lang w:val="en-GB"/>
        </w:rPr>
        <w:t>GRi</w:t>
      </w:r>
      <w:proofErr w:type="spellEnd"/>
      <w:r>
        <w:rPr>
          <w:rFonts w:ascii="Calibri" w:hAnsi="Calibri" w:cs="Calibri"/>
          <w:color w:val="212121"/>
          <w:sz w:val="22"/>
          <w:szCs w:val="22"/>
          <w:lang w:val="en-GB"/>
        </w:rPr>
        <w:t>  </w:t>
      </w:r>
    </w:p>
    <w:p w14:paraId="332A0D95" w14:textId="77777777" w:rsidR="00E20091" w:rsidRDefault="00E20091" w:rsidP="00E20091">
      <w:pPr>
        <w:pStyle w:val="NormalWeb"/>
        <w:ind w:left="720"/>
        <w:rPr>
          <w:rFonts w:ascii="Calibri" w:hAnsi="Calibri" w:cs="Calibri"/>
          <w:color w:val="006FC9"/>
          <w:sz w:val="22"/>
          <w:szCs w:val="22"/>
          <w:lang w:val="en-GB"/>
        </w:rPr>
      </w:pPr>
    </w:p>
    <w:p w14:paraId="6F57D92E" w14:textId="77777777" w:rsidR="00E20091" w:rsidRDefault="00E20091" w:rsidP="00912187">
      <w:pPr>
        <w:pStyle w:val="xmsonormal"/>
        <w:rPr>
          <w:rFonts w:ascii="Calibri" w:hAnsi="Calibri" w:cs="Calibri"/>
          <w:color w:val="006FC9"/>
          <w:sz w:val="22"/>
          <w:szCs w:val="22"/>
          <w:lang w:val="en-GB"/>
        </w:rPr>
      </w:pPr>
    </w:p>
    <w:p w14:paraId="1833A190" w14:textId="77777777" w:rsidR="00E20091" w:rsidRDefault="00E20091" w:rsidP="00E20091">
      <w:pPr>
        <w:pStyle w:val="xmsonormal"/>
        <w:ind w:left="1428"/>
        <w:rPr>
          <w:rFonts w:ascii="Calibri" w:hAnsi="Calibri" w:cs="Calibri"/>
          <w:color w:val="006FC9"/>
          <w:sz w:val="22"/>
          <w:szCs w:val="22"/>
          <w:lang w:val="en-GB"/>
        </w:rPr>
      </w:pPr>
    </w:p>
    <w:p w14:paraId="0FC9E1DD" w14:textId="77777777" w:rsidR="00E20091" w:rsidRDefault="00E20091" w:rsidP="00E20091">
      <w:pPr>
        <w:pStyle w:val="xmsonormal"/>
        <w:ind w:left="1428"/>
        <w:rPr>
          <w:rFonts w:ascii="Calibri" w:hAnsi="Calibri" w:cs="Calibri"/>
          <w:color w:val="006FC9"/>
          <w:sz w:val="22"/>
          <w:szCs w:val="22"/>
          <w:lang w:val="en-GB"/>
        </w:rPr>
      </w:pPr>
    </w:p>
    <w:p w14:paraId="4EEA98E0" w14:textId="77777777" w:rsidR="00E20091" w:rsidRDefault="00E20091" w:rsidP="00E20091">
      <w:pPr>
        <w:pStyle w:val="NormalWeb"/>
        <w:ind w:left="720"/>
        <w:rPr>
          <w:rFonts w:ascii="Calibri" w:hAnsi="Calibri" w:cs="Calibri"/>
          <w:color w:val="006FC9"/>
          <w:sz w:val="22"/>
          <w:szCs w:val="22"/>
          <w:lang w:val="en-GB"/>
        </w:rPr>
      </w:pPr>
    </w:p>
    <w:p w14:paraId="18F7AF0E" w14:textId="77777777" w:rsidR="00E20091" w:rsidRPr="00065064" w:rsidRDefault="00E20091" w:rsidP="00065064">
      <w:pPr>
        <w:pStyle w:val="NormalWeb"/>
        <w:rPr>
          <w:i/>
          <w:u w:val="single"/>
        </w:rPr>
      </w:pPr>
      <w:r w:rsidRPr="00065064">
        <w:rPr>
          <w:i/>
          <w:u w:val="single"/>
        </w:rPr>
        <w:t>Bonds greenness </w:t>
      </w:r>
    </w:p>
    <w:p w14:paraId="71037237" w14:textId="77777777" w:rsidR="00065064" w:rsidRDefault="00065064" w:rsidP="00065064">
      <w:pPr>
        <w:pStyle w:val="NormalWeb"/>
        <w:rPr>
          <w:rFonts w:ascii="Calibri" w:hAnsi="Calibri" w:cs="Calibri"/>
          <w:sz w:val="22"/>
          <w:szCs w:val="22"/>
          <w:lang w:val="en-GB"/>
        </w:rPr>
      </w:pPr>
    </w:p>
    <w:p w14:paraId="2C41A8C9" w14:textId="77777777" w:rsidR="00065064" w:rsidRDefault="00065064" w:rsidP="00065064">
      <w:pPr>
        <w:pStyle w:val="NormalWeb"/>
        <w:rPr>
          <w:rFonts w:ascii="Calibri" w:hAnsi="Calibri" w:cs="Calibri"/>
          <w:sz w:val="22"/>
          <w:szCs w:val="22"/>
          <w:lang w:val="en-GB"/>
        </w:rPr>
      </w:pPr>
      <w:r>
        <w:rPr>
          <w:rFonts w:ascii="Calibri" w:hAnsi="Calibri" w:cs="Calibri"/>
          <w:sz w:val="22"/>
          <w:szCs w:val="22"/>
          <w:lang w:val="en-GB"/>
        </w:rPr>
        <w:t>The calculation rules for the portfolio contribution of green bonds and general purpose bonds are as follows:</w:t>
      </w:r>
    </w:p>
    <w:p w14:paraId="6DF4E3C9" w14:textId="77777777" w:rsidR="00065064" w:rsidRPr="00065064" w:rsidRDefault="00065064" w:rsidP="00065064">
      <w:pPr>
        <w:pStyle w:val="NormalWeb"/>
        <w:rPr>
          <w:rFonts w:ascii="Calibri" w:hAnsi="Calibri" w:cs="Calibri"/>
          <w:sz w:val="22"/>
          <w:szCs w:val="22"/>
          <w:lang w:val="en-GB"/>
        </w:rPr>
      </w:pPr>
    </w:p>
    <w:p w14:paraId="66D37BC5" w14:textId="77777777" w:rsidR="00E20091" w:rsidRPr="00065064" w:rsidRDefault="00065064" w:rsidP="00065064">
      <w:pPr>
        <w:pStyle w:val="NormalWeb"/>
        <w:rPr>
          <w:rFonts w:ascii="Calibri" w:hAnsi="Calibri" w:cs="Calibri"/>
          <w:sz w:val="22"/>
          <w:szCs w:val="22"/>
          <w:lang w:val="en-GB"/>
        </w:rPr>
      </w:pPr>
      <w:r>
        <w:rPr>
          <w:rFonts w:ascii="Calibri" w:hAnsi="Calibri" w:cs="Calibri"/>
          <w:sz w:val="22"/>
          <w:szCs w:val="22"/>
          <w:lang w:val="en-GB"/>
        </w:rPr>
        <w:t>For corporate bonds (green or general purpose) to make a portfolio contribution to greenness the issuer</w:t>
      </w:r>
      <w:r w:rsidR="00E20091" w:rsidRPr="00065064">
        <w:rPr>
          <w:rFonts w:ascii="Calibri" w:hAnsi="Calibri" w:cs="Calibri"/>
          <w:sz w:val="22"/>
          <w:szCs w:val="22"/>
          <w:lang w:val="en-GB"/>
        </w:rPr>
        <w:t xml:space="preserve"> </w:t>
      </w:r>
      <w:r>
        <w:rPr>
          <w:rFonts w:ascii="Calibri" w:hAnsi="Calibri" w:cs="Calibri"/>
          <w:sz w:val="22"/>
          <w:szCs w:val="22"/>
          <w:lang w:val="en-GB"/>
        </w:rPr>
        <w:t>must first</w:t>
      </w:r>
      <w:r w:rsidR="00E20091" w:rsidRPr="00065064">
        <w:rPr>
          <w:rFonts w:ascii="Calibri" w:hAnsi="Calibri" w:cs="Calibri"/>
          <w:sz w:val="22"/>
          <w:szCs w:val="22"/>
          <w:lang w:val="en-GB"/>
        </w:rPr>
        <w:t xml:space="preserve"> have </w:t>
      </w:r>
      <w:proofErr w:type="spellStart"/>
      <w:r w:rsidR="00E20091" w:rsidRPr="00065064">
        <w:rPr>
          <w:rFonts w:ascii="Calibri" w:hAnsi="Calibri" w:cs="Calibri"/>
          <w:sz w:val="22"/>
          <w:szCs w:val="22"/>
          <w:lang w:val="en-GB"/>
        </w:rPr>
        <w:t>GRi</w:t>
      </w:r>
      <w:proofErr w:type="spellEnd"/>
      <w:r w:rsidR="00E20091" w:rsidRPr="00065064">
        <w:rPr>
          <w:rFonts w:ascii="Calibri" w:hAnsi="Calibri" w:cs="Calibri"/>
          <w:sz w:val="22"/>
          <w:szCs w:val="22"/>
          <w:lang w:val="en-GB"/>
        </w:rPr>
        <w:t>&gt;50% or be </w:t>
      </w:r>
      <w:r>
        <w:rPr>
          <w:rFonts w:ascii="Calibri" w:hAnsi="Calibri" w:cs="Calibri"/>
          <w:sz w:val="22"/>
          <w:szCs w:val="22"/>
          <w:lang w:val="en-GB"/>
        </w:rPr>
        <w:t>a company</w:t>
      </w:r>
      <w:r w:rsidR="00E20091" w:rsidRPr="00065064">
        <w:rPr>
          <w:rFonts w:ascii="Calibri" w:hAnsi="Calibri" w:cs="Calibri"/>
          <w:sz w:val="22"/>
          <w:szCs w:val="22"/>
          <w:lang w:val="en-GB"/>
        </w:rPr>
        <w:t xml:space="preserve"> in</w:t>
      </w:r>
      <w:r>
        <w:rPr>
          <w:rFonts w:ascii="Calibri" w:hAnsi="Calibri" w:cs="Calibri"/>
          <w:sz w:val="22"/>
          <w:szCs w:val="22"/>
          <w:lang w:val="en-GB"/>
        </w:rPr>
        <w:t>vesting in</w:t>
      </w:r>
      <w:r w:rsidR="00E20091" w:rsidRPr="00065064">
        <w:rPr>
          <w:rFonts w:ascii="Calibri" w:hAnsi="Calibri" w:cs="Calibri"/>
          <w:sz w:val="22"/>
          <w:szCs w:val="22"/>
          <w:lang w:val="en-GB"/>
        </w:rPr>
        <w:t xml:space="preserve"> transition</w:t>
      </w:r>
      <w:r>
        <w:rPr>
          <w:rFonts w:ascii="Calibri" w:hAnsi="Calibri" w:cs="Calibri"/>
          <w:sz w:val="22"/>
          <w:szCs w:val="22"/>
          <w:lang w:val="en-GB"/>
        </w:rPr>
        <w:t>.</w:t>
      </w:r>
      <w:r w:rsidR="00E20091" w:rsidRPr="00065064">
        <w:rPr>
          <w:rFonts w:ascii="Calibri" w:hAnsi="Calibri" w:cs="Calibri"/>
          <w:sz w:val="22"/>
          <w:szCs w:val="22"/>
          <w:lang w:val="en-GB"/>
        </w:rPr>
        <w:t>  </w:t>
      </w:r>
      <w:r>
        <w:rPr>
          <w:rFonts w:ascii="Calibri" w:hAnsi="Calibri" w:cs="Calibri"/>
          <w:sz w:val="22"/>
          <w:szCs w:val="22"/>
          <w:lang w:val="en-GB"/>
        </w:rPr>
        <w:t>The contribution can then be calculated as follows:</w:t>
      </w:r>
    </w:p>
    <w:p w14:paraId="5A40282E" w14:textId="77777777" w:rsidR="00E20091" w:rsidRPr="00065064" w:rsidRDefault="00E20091" w:rsidP="00E20091">
      <w:pPr>
        <w:pStyle w:val="NormalWeb"/>
        <w:ind w:left="720"/>
        <w:rPr>
          <w:rFonts w:ascii="Calibri" w:hAnsi="Calibri" w:cs="Calibri"/>
          <w:sz w:val="22"/>
          <w:szCs w:val="22"/>
          <w:lang w:val="en-GB"/>
        </w:rPr>
      </w:pPr>
    </w:p>
    <w:p w14:paraId="6A5250F6" w14:textId="77777777" w:rsidR="00E20091" w:rsidRPr="00065064" w:rsidRDefault="00E20091" w:rsidP="00065064">
      <w:pPr>
        <w:pStyle w:val="NormalWeb"/>
        <w:numPr>
          <w:ilvl w:val="0"/>
          <w:numId w:val="1"/>
        </w:numPr>
        <w:rPr>
          <w:rFonts w:ascii="Calibri" w:hAnsi="Calibri" w:cs="Calibri"/>
          <w:sz w:val="22"/>
          <w:szCs w:val="22"/>
          <w:lang w:val="en-GB"/>
        </w:rPr>
      </w:pPr>
      <w:r w:rsidRPr="00065064">
        <w:rPr>
          <w:rFonts w:ascii="Calibri" w:hAnsi="Calibri" w:cs="Calibri"/>
          <w:sz w:val="22"/>
          <w:szCs w:val="22"/>
          <w:lang w:val="en-GB"/>
        </w:rPr>
        <w:t>Value of the </w:t>
      </w:r>
      <w:r w:rsidR="00065064">
        <w:rPr>
          <w:rFonts w:ascii="Calibri" w:hAnsi="Calibri" w:cs="Calibri"/>
          <w:sz w:val="22"/>
          <w:szCs w:val="22"/>
          <w:lang w:val="en-GB"/>
        </w:rPr>
        <w:t>‘</w:t>
      </w:r>
      <w:r w:rsidRPr="00065064">
        <w:rPr>
          <w:rFonts w:ascii="Calibri" w:hAnsi="Calibri" w:cs="Calibri"/>
          <w:sz w:val="22"/>
          <w:szCs w:val="22"/>
          <w:lang w:val="en-GB"/>
        </w:rPr>
        <w:t>Use of proceeds</w:t>
      </w:r>
      <w:r w:rsidR="00065064">
        <w:rPr>
          <w:rFonts w:ascii="Calibri" w:hAnsi="Calibri" w:cs="Calibri"/>
          <w:sz w:val="22"/>
          <w:szCs w:val="22"/>
          <w:lang w:val="en-GB"/>
        </w:rPr>
        <w:t>’</w:t>
      </w:r>
      <w:r w:rsidRPr="00065064">
        <w:rPr>
          <w:rFonts w:ascii="Calibri" w:hAnsi="Calibri" w:cs="Calibri"/>
          <w:sz w:val="22"/>
          <w:szCs w:val="22"/>
          <w:lang w:val="en-GB"/>
        </w:rPr>
        <w:t xml:space="preserve"> green bonds (</w:t>
      </w:r>
      <w:r w:rsidR="00065064">
        <w:rPr>
          <w:rFonts w:ascii="Calibri" w:hAnsi="Calibri" w:cs="Calibri"/>
          <w:sz w:val="22"/>
          <w:szCs w:val="22"/>
          <w:lang w:val="en-GB"/>
        </w:rPr>
        <w:t>sovereign or corporate</w:t>
      </w:r>
      <w:r w:rsidRPr="00065064">
        <w:rPr>
          <w:rFonts w:ascii="Calibri" w:hAnsi="Calibri" w:cs="Calibri"/>
          <w:sz w:val="22"/>
          <w:szCs w:val="22"/>
          <w:lang w:val="en-GB"/>
        </w:rPr>
        <w:t xml:space="preserve">):  G = </w:t>
      </w:r>
      <w:proofErr w:type="spellStart"/>
      <w:r w:rsidRPr="00065064">
        <w:rPr>
          <w:rFonts w:ascii="Calibri" w:hAnsi="Calibri" w:cs="Calibri"/>
          <w:sz w:val="22"/>
          <w:szCs w:val="22"/>
          <w:lang w:val="en-GB"/>
        </w:rPr>
        <w:t>PCi</w:t>
      </w:r>
      <w:proofErr w:type="spellEnd"/>
      <w:r w:rsidRPr="00065064">
        <w:rPr>
          <w:rFonts w:ascii="Calibri" w:hAnsi="Calibri" w:cs="Calibri"/>
          <w:sz w:val="22"/>
          <w:szCs w:val="22"/>
          <w:lang w:val="en-GB"/>
        </w:rPr>
        <w:t> %</w:t>
      </w:r>
    </w:p>
    <w:p w14:paraId="72F8EEEA" w14:textId="77777777" w:rsidR="00065064" w:rsidRDefault="00E20091" w:rsidP="00FF5907">
      <w:pPr>
        <w:pStyle w:val="NormalWeb"/>
        <w:numPr>
          <w:ilvl w:val="0"/>
          <w:numId w:val="1"/>
        </w:numPr>
        <w:rPr>
          <w:rFonts w:ascii="Calibri" w:hAnsi="Calibri" w:cs="Calibri"/>
          <w:sz w:val="22"/>
          <w:szCs w:val="22"/>
          <w:lang w:val="en-GB"/>
        </w:rPr>
      </w:pPr>
      <w:r w:rsidRPr="00065064">
        <w:rPr>
          <w:rFonts w:ascii="Calibri" w:hAnsi="Calibri" w:cs="Calibri"/>
          <w:sz w:val="22"/>
          <w:szCs w:val="22"/>
          <w:lang w:val="en-GB"/>
        </w:rPr>
        <w:t>General purpose bonds</w:t>
      </w:r>
      <w:r w:rsidR="00065064">
        <w:rPr>
          <w:rFonts w:ascii="Calibri" w:hAnsi="Calibri" w:cs="Calibri"/>
          <w:sz w:val="22"/>
          <w:szCs w:val="22"/>
          <w:lang w:val="en-GB"/>
        </w:rPr>
        <w:t xml:space="preserve"> (corporate)</w:t>
      </w:r>
      <w:r w:rsidRPr="00065064">
        <w:rPr>
          <w:rFonts w:ascii="Calibri" w:hAnsi="Calibri" w:cs="Calibri"/>
          <w:sz w:val="22"/>
          <w:szCs w:val="22"/>
          <w:lang w:val="en-GB"/>
        </w:rPr>
        <w:t xml:space="preserve">: G = </w:t>
      </w:r>
      <w:proofErr w:type="spellStart"/>
      <w:r w:rsidRPr="00065064">
        <w:rPr>
          <w:rFonts w:ascii="Calibri" w:hAnsi="Calibri" w:cs="Calibri"/>
          <w:sz w:val="22"/>
          <w:szCs w:val="22"/>
          <w:lang w:val="en-GB"/>
        </w:rPr>
        <w:t>PCi</w:t>
      </w:r>
      <w:proofErr w:type="spellEnd"/>
      <w:r w:rsidRPr="00065064">
        <w:rPr>
          <w:rFonts w:ascii="Calibri" w:hAnsi="Calibri" w:cs="Calibri"/>
          <w:sz w:val="22"/>
          <w:szCs w:val="22"/>
          <w:lang w:val="en-GB"/>
        </w:rPr>
        <w:t xml:space="preserve"> x </w:t>
      </w:r>
      <w:proofErr w:type="spellStart"/>
      <w:r w:rsidRPr="00065064">
        <w:rPr>
          <w:rFonts w:ascii="Calibri" w:hAnsi="Calibri" w:cs="Calibri"/>
          <w:sz w:val="22"/>
          <w:szCs w:val="22"/>
          <w:lang w:val="en-GB"/>
        </w:rPr>
        <w:t>GRi</w:t>
      </w:r>
      <w:proofErr w:type="spellEnd"/>
      <w:r w:rsidR="00065064">
        <w:rPr>
          <w:rFonts w:ascii="Calibri" w:hAnsi="Calibri" w:cs="Calibri"/>
          <w:sz w:val="22"/>
          <w:szCs w:val="22"/>
          <w:lang w:val="en-GB"/>
        </w:rPr>
        <w:t xml:space="preserve"> (issuer)</w:t>
      </w:r>
      <w:r w:rsidRPr="00065064">
        <w:rPr>
          <w:rFonts w:ascii="Calibri" w:hAnsi="Calibri" w:cs="Calibri"/>
          <w:sz w:val="22"/>
          <w:szCs w:val="22"/>
          <w:lang w:val="en-GB"/>
        </w:rPr>
        <w:t xml:space="preserve">, </w:t>
      </w:r>
    </w:p>
    <w:p w14:paraId="52F28962" w14:textId="77777777" w:rsidR="00E20091" w:rsidRPr="00065064" w:rsidRDefault="00E20091" w:rsidP="00065064">
      <w:pPr>
        <w:pStyle w:val="NormalWeb"/>
        <w:numPr>
          <w:ilvl w:val="0"/>
          <w:numId w:val="1"/>
        </w:numPr>
        <w:rPr>
          <w:rFonts w:ascii="Calibri" w:hAnsi="Calibri" w:cs="Calibri"/>
          <w:sz w:val="22"/>
          <w:szCs w:val="22"/>
          <w:lang w:val="en-GB"/>
        </w:rPr>
      </w:pPr>
      <w:r w:rsidRPr="00065064">
        <w:rPr>
          <w:rFonts w:ascii="Calibri" w:hAnsi="Calibri" w:cs="Calibri"/>
          <w:sz w:val="22"/>
          <w:szCs w:val="22"/>
          <w:lang w:val="en-GB"/>
        </w:rPr>
        <w:t>General purpose bonds</w:t>
      </w:r>
      <w:r w:rsidR="00065064">
        <w:rPr>
          <w:rFonts w:ascii="Calibri" w:hAnsi="Calibri" w:cs="Calibri"/>
          <w:sz w:val="22"/>
          <w:szCs w:val="22"/>
          <w:lang w:val="en-GB"/>
        </w:rPr>
        <w:t xml:space="preserve"> (Sovereign or corporate)</w:t>
      </w:r>
      <w:r w:rsidRPr="00065064">
        <w:rPr>
          <w:rFonts w:ascii="Calibri" w:hAnsi="Calibri" w:cs="Calibri"/>
          <w:sz w:val="22"/>
          <w:szCs w:val="22"/>
          <w:lang w:val="en-GB"/>
        </w:rPr>
        <w:t>: G = 0  </w:t>
      </w:r>
    </w:p>
    <w:p w14:paraId="3D8D508A" w14:textId="77777777" w:rsidR="00065064" w:rsidRDefault="00065064" w:rsidP="00065064">
      <w:pPr>
        <w:pStyle w:val="NormalWeb"/>
        <w:rPr>
          <w:rFonts w:ascii="Calibri" w:hAnsi="Calibri" w:cs="Calibri"/>
          <w:sz w:val="22"/>
          <w:szCs w:val="22"/>
          <w:lang w:val="en-GB"/>
        </w:rPr>
      </w:pPr>
    </w:p>
    <w:p w14:paraId="71579319" w14:textId="77777777" w:rsidR="00065064" w:rsidRDefault="00065064" w:rsidP="00065064">
      <w:pPr>
        <w:pStyle w:val="NormalWeb"/>
        <w:rPr>
          <w:rFonts w:ascii="Calibri" w:hAnsi="Calibri" w:cs="Calibri"/>
          <w:sz w:val="22"/>
          <w:szCs w:val="22"/>
          <w:lang w:val="en-GB"/>
        </w:rPr>
      </w:pPr>
      <w:r>
        <w:rPr>
          <w:rFonts w:ascii="Calibri" w:hAnsi="Calibri" w:cs="Calibri"/>
          <w:sz w:val="22"/>
          <w:szCs w:val="22"/>
          <w:lang w:val="en-GB"/>
        </w:rPr>
        <w:t>Where:</w:t>
      </w:r>
    </w:p>
    <w:p w14:paraId="47B32589" w14:textId="77777777" w:rsidR="00E20091" w:rsidRPr="00065064" w:rsidRDefault="00E20091" w:rsidP="00065064">
      <w:pPr>
        <w:pStyle w:val="NormalWeb"/>
        <w:rPr>
          <w:rFonts w:ascii="Calibri" w:hAnsi="Calibri" w:cs="Calibri"/>
          <w:sz w:val="22"/>
          <w:szCs w:val="22"/>
          <w:lang w:val="en-GB"/>
        </w:rPr>
      </w:pPr>
      <w:proofErr w:type="spellStart"/>
      <w:r w:rsidRPr="00065064">
        <w:rPr>
          <w:rFonts w:ascii="Calibri" w:hAnsi="Calibri" w:cs="Calibri"/>
          <w:sz w:val="22"/>
          <w:szCs w:val="22"/>
          <w:lang w:val="en-GB"/>
        </w:rPr>
        <w:t>PCi</w:t>
      </w:r>
      <w:proofErr w:type="spellEnd"/>
      <w:r w:rsidRPr="00065064">
        <w:rPr>
          <w:rFonts w:ascii="Calibri" w:hAnsi="Calibri" w:cs="Calibri"/>
          <w:sz w:val="22"/>
          <w:szCs w:val="22"/>
          <w:lang w:val="en-GB"/>
        </w:rPr>
        <w:t xml:space="preserve"> = contribution of each asset </w:t>
      </w:r>
      <w:proofErr w:type="spellStart"/>
      <w:r w:rsidRPr="00065064">
        <w:rPr>
          <w:rFonts w:ascii="Calibri" w:hAnsi="Calibri" w:cs="Calibri"/>
          <w:sz w:val="22"/>
          <w:szCs w:val="22"/>
          <w:lang w:val="en-GB"/>
        </w:rPr>
        <w:t>i</w:t>
      </w:r>
      <w:proofErr w:type="spellEnd"/>
      <w:r w:rsidRPr="00065064">
        <w:rPr>
          <w:rFonts w:ascii="Calibri" w:hAnsi="Calibri" w:cs="Calibri"/>
          <w:sz w:val="22"/>
          <w:szCs w:val="22"/>
          <w:lang w:val="en-GB"/>
        </w:rPr>
        <w:t xml:space="preserve"> (bonds or equity) to the whole portfolio (other assets and cash included).</w:t>
      </w:r>
    </w:p>
    <w:p w14:paraId="3EB3D18F" w14:textId="77777777" w:rsidR="00E20091" w:rsidRPr="00065064" w:rsidRDefault="00E20091" w:rsidP="00E20091">
      <w:pPr>
        <w:pStyle w:val="NormalWeb"/>
        <w:ind w:left="720"/>
        <w:rPr>
          <w:rFonts w:ascii="Calibri" w:hAnsi="Calibri" w:cs="Calibri"/>
          <w:sz w:val="22"/>
          <w:szCs w:val="22"/>
          <w:lang w:val="en-GB"/>
        </w:rPr>
      </w:pPr>
    </w:p>
    <w:p w14:paraId="137B3E28" w14:textId="77777777" w:rsidR="00E20091" w:rsidRPr="00065064" w:rsidRDefault="00E20091" w:rsidP="00E20091">
      <w:pPr>
        <w:pStyle w:val="xmsonormal"/>
        <w:ind w:left="1428"/>
        <w:rPr>
          <w:rFonts w:ascii="Calibri" w:hAnsi="Calibri" w:cs="Calibri"/>
          <w:sz w:val="22"/>
          <w:szCs w:val="22"/>
          <w:lang w:val="en-GB"/>
        </w:rPr>
      </w:pPr>
    </w:p>
    <w:p w14:paraId="7A0C4AE3" w14:textId="77777777" w:rsidR="00E20091" w:rsidRPr="00065064" w:rsidRDefault="00E20091" w:rsidP="00065064">
      <w:pPr>
        <w:pStyle w:val="NormalWeb"/>
        <w:rPr>
          <w:rFonts w:ascii="Calibri" w:hAnsi="Calibri" w:cs="Calibri"/>
          <w:i/>
          <w:sz w:val="22"/>
          <w:szCs w:val="22"/>
          <w:lang w:val="en-GB"/>
        </w:rPr>
      </w:pPr>
      <w:r w:rsidRPr="00065064">
        <w:rPr>
          <w:rFonts w:ascii="Calibri" w:hAnsi="Calibri" w:cs="Calibri"/>
          <w:i/>
          <w:sz w:val="22"/>
          <w:szCs w:val="22"/>
          <w:u w:val="single"/>
          <w:lang w:val="en-GB"/>
        </w:rPr>
        <w:t>Other assets </w:t>
      </w:r>
    </w:p>
    <w:p w14:paraId="44A1D5CF" w14:textId="77777777" w:rsidR="00E20091" w:rsidRPr="00065064" w:rsidRDefault="00E20091" w:rsidP="00E20091">
      <w:pPr>
        <w:pStyle w:val="NormalWeb"/>
        <w:ind w:left="720"/>
        <w:rPr>
          <w:rFonts w:ascii="Calibri" w:hAnsi="Calibri" w:cs="Calibri"/>
          <w:sz w:val="22"/>
          <w:szCs w:val="22"/>
          <w:lang w:val="en-GB"/>
        </w:rPr>
      </w:pPr>
    </w:p>
    <w:p w14:paraId="0F943D0B" w14:textId="77777777" w:rsidR="00432171" w:rsidRDefault="004C4437" w:rsidP="004C4437">
      <w:pPr>
        <w:pStyle w:val="NormalWeb"/>
        <w:rPr>
          <w:rFonts w:ascii="Calibri" w:hAnsi="Calibri" w:cs="Calibri"/>
          <w:sz w:val="22"/>
          <w:szCs w:val="22"/>
          <w:lang w:val="en-GB"/>
        </w:rPr>
      </w:pPr>
      <w:r>
        <w:rPr>
          <w:rFonts w:ascii="Calibri" w:hAnsi="Calibri" w:cs="Calibri"/>
          <w:sz w:val="22"/>
          <w:szCs w:val="22"/>
          <w:lang w:val="en-GB"/>
        </w:rPr>
        <w:t>Companies with</w:t>
      </w:r>
      <w:r w:rsidRPr="00065064">
        <w:rPr>
          <w:rFonts w:ascii="Calibri" w:hAnsi="Calibri" w:cs="Calibri"/>
          <w:sz w:val="22"/>
          <w:szCs w:val="22"/>
          <w:lang w:val="en-GB"/>
        </w:rPr>
        <w:t xml:space="preserve"> &lt;5% </w:t>
      </w:r>
      <w:proofErr w:type="spellStart"/>
      <w:r>
        <w:rPr>
          <w:rFonts w:ascii="Calibri" w:hAnsi="Calibri" w:cs="Calibri"/>
          <w:sz w:val="22"/>
          <w:szCs w:val="22"/>
          <w:lang w:val="en-GB"/>
        </w:rPr>
        <w:t>GRi</w:t>
      </w:r>
      <w:proofErr w:type="spellEnd"/>
      <w:r>
        <w:rPr>
          <w:rFonts w:ascii="Calibri" w:hAnsi="Calibri" w:cs="Calibri"/>
          <w:sz w:val="22"/>
          <w:szCs w:val="22"/>
          <w:lang w:val="en-GB"/>
        </w:rPr>
        <w:t xml:space="preserve"> do not contribute to the overall portfolio greenness.</w:t>
      </w:r>
      <w:r w:rsidR="00E20091" w:rsidRPr="00065064">
        <w:rPr>
          <w:rFonts w:ascii="Calibri" w:hAnsi="Calibri" w:cs="Calibri"/>
          <w:sz w:val="22"/>
          <w:szCs w:val="22"/>
          <w:lang w:val="en-GB"/>
        </w:rPr>
        <w:t xml:space="preserve"> </w:t>
      </w:r>
      <w:r>
        <w:rPr>
          <w:rFonts w:ascii="Calibri" w:hAnsi="Calibri" w:cs="Calibri"/>
          <w:sz w:val="22"/>
          <w:szCs w:val="22"/>
          <w:lang w:val="en-GB"/>
        </w:rPr>
        <w:t>Other assets such as derivatives shall be calculated as part of the total portfolio</w:t>
      </w:r>
      <w:r w:rsidR="00432171">
        <w:rPr>
          <w:rFonts w:ascii="Calibri" w:hAnsi="Calibri" w:cs="Calibri"/>
          <w:sz w:val="22"/>
          <w:szCs w:val="22"/>
          <w:lang w:val="en-GB"/>
        </w:rPr>
        <w:t xml:space="preserve"> but may not contribute to portfolio greenness</w:t>
      </w:r>
      <w:r>
        <w:rPr>
          <w:rFonts w:ascii="Calibri" w:hAnsi="Calibri" w:cs="Calibri"/>
          <w:sz w:val="22"/>
          <w:szCs w:val="22"/>
          <w:lang w:val="en-GB"/>
        </w:rPr>
        <w:t xml:space="preserve">.  </w:t>
      </w:r>
    </w:p>
    <w:p w14:paraId="44F6967A" w14:textId="77777777" w:rsidR="00432171" w:rsidRDefault="00432171" w:rsidP="004C4437">
      <w:pPr>
        <w:pStyle w:val="NormalWeb"/>
        <w:rPr>
          <w:rFonts w:ascii="Calibri" w:hAnsi="Calibri" w:cs="Calibri"/>
          <w:sz w:val="22"/>
          <w:szCs w:val="22"/>
          <w:lang w:val="en-GB"/>
        </w:rPr>
      </w:pPr>
    </w:p>
    <w:p w14:paraId="42F7AB19" w14:textId="77777777" w:rsidR="00E20091" w:rsidRPr="00065064" w:rsidRDefault="00432171" w:rsidP="004C4437">
      <w:pPr>
        <w:pStyle w:val="NormalWeb"/>
        <w:rPr>
          <w:rFonts w:ascii="Calibri" w:hAnsi="Calibri" w:cs="Calibri"/>
          <w:sz w:val="22"/>
          <w:szCs w:val="22"/>
          <w:lang w:val="en-GB"/>
        </w:rPr>
      </w:pPr>
      <w:r>
        <w:rPr>
          <w:rFonts w:ascii="Calibri" w:hAnsi="Calibri" w:cs="Calibri"/>
          <w:sz w:val="22"/>
          <w:szCs w:val="22"/>
          <w:lang w:val="en-GB"/>
        </w:rPr>
        <w:t>Real estate and infrastructure may contribute to the overall portfolio greenness, which shall be calculated on an asset by asset basis i.e. according to the value of the holdings in each building or project that complies with the criteria of the EU Taxonomy.</w:t>
      </w:r>
    </w:p>
    <w:p w14:paraId="326BC3B0" w14:textId="77777777" w:rsidR="00E20091" w:rsidRPr="00065064" w:rsidRDefault="00E20091" w:rsidP="00E20091">
      <w:pPr>
        <w:ind w:left="720"/>
        <w:rPr>
          <w:rFonts w:ascii="Calibri" w:hAnsi="Calibri" w:cs="Calibri"/>
          <w:sz w:val="22"/>
          <w:szCs w:val="22"/>
          <w:lang w:val="en-GB"/>
        </w:rPr>
      </w:pPr>
    </w:p>
    <w:p w14:paraId="6B3EF61A" w14:textId="77777777" w:rsidR="00E20091" w:rsidRPr="00065064" w:rsidRDefault="00E20091" w:rsidP="00E20091">
      <w:pPr>
        <w:pStyle w:val="xmsonormal"/>
        <w:ind w:left="720"/>
        <w:rPr>
          <w:rFonts w:ascii="Calibri" w:hAnsi="Calibri" w:cs="Calibri"/>
          <w:sz w:val="22"/>
          <w:szCs w:val="22"/>
          <w:lang w:val="en-GB"/>
        </w:rPr>
      </w:pPr>
    </w:p>
    <w:p w14:paraId="69742201" w14:textId="4AA37DF8" w:rsidR="00E20091" w:rsidRPr="004C4437" w:rsidRDefault="00E20091" w:rsidP="004C4437">
      <w:pPr>
        <w:pStyle w:val="xmsonormal"/>
        <w:rPr>
          <w:rFonts w:ascii="Calibri" w:hAnsi="Calibri" w:cs="Calibri"/>
          <w:i/>
          <w:sz w:val="22"/>
          <w:szCs w:val="22"/>
          <w:lang w:val="en-GB"/>
        </w:rPr>
      </w:pPr>
      <w:r w:rsidRPr="004C4437">
        <w:rPr>
          <w:rFonts w:ascii="Calibri" w:hAnsi="Calibri" w:cs="Calibri"/>
          <w:i/>
          <w:sz w:val="22"/>
          <w:szCs w:val="22"/>
          <w:u w:val="single"/>
        </w:rPr>
        <w:t>Portfolio Greenness</w:t>
      </w:r>
      <w:r w:rsidR="00432171">
        <w:rPr>
          <w:rFonts w:ascii="Calibri" w:hAnsi="Calibri" w:cs="Calibri"/>
          <w:i/>
          <w:sz w:val="22"/>
          <w:szCs w:val="22"/>
          <w:u w:val="single"/>
        </w:rPr>
        <w:t xml:space="preserve"> for </w:t>
      </w:r>
      <w:r w:rsidR="008C294D">
        <w:rPr>
          <w:rFonts w:ascii="Calibri" w:hAnsi="Calibri" w:cs="Calibri"/>
          <w:i/>
          <w:sz w:val="22"/>
          <w:szCs w:val="22"/>
          <w:u w:val="single"/>
        </w:rPr>
        <w:t>investment funds</w:t>
      </w:r>
    </w:p>
    <w:p w14:paraId="27496332" w14:textId="77777777" w:rsidR="00432171" w:rsidRDefault="00432171" w:rsidP="00432171">
      <w:pPr>
        <w:pStyle w:val="xmsonormal"/>
        <w:rPr>
          <w:rFonts w:ascii="Calibri" w:hAnsi="Calibri" w:cs="Calibri"/>
          <w:sz w:val="22"/>
          <w:szCs w:val="22"/>
          <w:lang w:val="en-GB"/>
        </w:rPr>
      </w:pPr>
    </w:p>
    <w:p w14:paraId="456F3F0B" w14:textId="77777777" w:rsidR="00E20091" w:rsidRPr="00065064" w:rsidRDefault="00E20091" w:rsidP="00432171">
      <w:pPr>
        <w:pStyle w:val="xmsonormal"/>
        <w:rPr>
          <w:rFonts w:ascii="Calibri" w:hAnsi="Calibri" w:cs="Calibri"/>
          <w:sz w:val="22"/>
          <w:szCs w:val="22"/>
          <w:lang w:val="en-GB"/>
        </w:rPr>
      </w:pPr>
      <w:r w:rsidRPr="00065064">
        <w:rPr>
          <w:rFonts w:ascii="Calibri" w:hAnsi="Calibri" w:cs="Calibri"/>
          <w:sz w:val="22"/>
          <w:szCs w:val="22"/>
        </w:rPr>
        <w:t>The contribution of each asset (bonds or equity) is calculated in relation to the whole portfolio.  </w:t>
      </w:r>
    </w:p>
    <w:p w14:paraId="57D26695" w14:textId="77777777" w:rsidR="00E20091" w:rsidRPr="00065064" w:rsidRDefault="00E20091" w:rsidP="00432171">
      <w:pPr>
        <w:pStyle w:val="xmsonormal"/>
        <w:rPr>
          <w:rFonts w:ascii="Calibri" w:hAnsi="Calibri" w:cs="Calibri"/>
          <w:sz w:val="22"/>
          <w:szCs w:val="22"/>
          <w:lang w:val="en-GB"/>
        </w:rPr>
      </w:pPr>
      <w:r w:rsidRPr="00065064">
        <w:rPr>
          <w:rFonts w:ascii="Calibri" w:hAnsi="Calibri" w:cs="Calibri"/>
          <w:sz w:val="22"/>
          <w:szCs w:val="22"/>
        </w:rPr>
        <w:t>The sum of these contributions should reach: </w:t>
      </w:r>
    </w:p>
    <w:p w14:paraId="3DB636F3" w14:textId="77777777" w:rsidR="00E20091" w:rsidRPr="00065064" w:rsidRDefault="00E20091" w:rsidP="00E20091">
      <w:pPr>
        <w:pStyle w:val="xmsonormal"/>
        <w:ind w:left="720"/>
        <w:rPr>
          <w:rFonts w:ascii="Calibri" w:hAnsi="Calibri" w:cs="Calibri"/>
          <w:sz w:val="22"/>
          <w:szCs w:val="22"/>
          <w:lang w:val="en-GB"/>
        </w:rPr>
      </w:pPr>
    </w:p>
    <w:p w14:paraId="1266D36F" w14:textId="6E84DDCE" w:rsidR="00432171" w:rsidRPr="00065064" w:rsidRDefault="00432171" w:rsidP="00432171">
      <w:pPr>
        <w:pStyle w:val="xmsonormal"/>
        <w:ind w:left="720"/>
        <w:rPr>
          <w:rFonts w:ascii="Calibri" w:hAnsi="Calibri" w:cs="Calibri"/>
          <w:sz w:val="22"/>
          <w:szCs w:val="22"/>
          <w:lang w:val="en-GB"/>
        </w:rPr>
      </w:pPr>
      <w:r w:rsidRPr="00065064">
        <w:rPr>
          <w:rFonts w:ascii="Calibri" w:hAnsi="Calibri" w:cs="Calibri"/>
          <w:sz w:val="22"/>
          <w:szCs w:val="22"/>
        </w:rPr>
        <w:t xml:space="preserve">70% for </w:t>
      </w:r>
      <w:r>
        <w:rPr>
          <w:rFonts w:ascii="Calibri" w:hAnsi="Calibri" w:cs="Calibri"/>
          <w:sz w:val="22"/>
          <w:szCs w:val="22"/>
        </w:rPr>
        <w:t xml:space="preserve">retail </w:t>
      </w:r>
      <w:r w:rsidRPr="00065064">
        <w:rPr>
          <w:rFonts w:ascii="Calibri" w:hAnsi="Calibri" w:cs="Calibri"/>
          <w:sz w:val="22"/>
          <w:szCs w:val="22"/>
        </w:rPr>
        <w:t>AIFs</w:t>
      </w:r>
      <w:r w:rsidR="008C294D">
        <w:rPr>
          <w:rFonts w:ascii="Calibri" w:hAnsi="Calibri" w:cs="Calibri"/>
          <w:sz w:val="22"/>
          <w:szCs w:val="22"/>
        </w:rPr>
        <w:t xml:space="preserve"> (1.1.A)</w:t>
      </w:r>
    </w:p>
    <w:p w14:paraId="0DCA03EC" w14:textId="3BD82D4C" w:rsidR="00E20091" w:rsidRPr="00065064" w:rsidRDefault="00E20091" w:rsidP="00E20091">
      <w:pPr>
        <w:pStyle w:val="xmsonormal"/>
        <w:ind w:left="720"/>
        <w:rPr>
          <w:rFonts w:ascii="Calibri" w:hAnsi="Calibri" w:cs="Calibri"/>
          <w:sz w:val="22"/>
          <w:szCs w:val="22"/>
          <w:lang w:val="en-GB"/>
        </w:rPr>
      </w:pPr>
      <w:r w:rsidRPr="00065064">
        <w:rPr>
          <w:rFonts w:ascii="Calibri" w:hAnsi="Calibri" w:cs="Calibri"/>
          <w:sz w:val="22"/>
          <w:szCs w:val="22"/>
        </w:rPr>
        <w:t xml:space="preserve">40% for </w:t>
      </w:r>
      <w:r w:rsidR="00806538">
        <w:rPr>
          <w:rFonts w:ascii="Calibri" w:hAnsi="Calibri" w:cs="Calibri"/>
          <w:sz w:val="22"/>
          <w:szCs w:val="22"/>
        </w:rPr>
        <w:t xml:space="preserve">UCITS </w:t>
      </w:r>
      <w:r w:rsidRPr="00065064">
        <w:rPr>
          <w:rFonts w:ascii="Calibri" w:hAnsi="Calibri" w:cs="Calibri"/>
          <w:sz w:val="22"/>
          <w:szCs w:val="22"/>
        </w:rPr>
        <w:t>equity funds </w:t>
      </w:r>
      <w:r w:rsidR="008C294D">
        <w:rPr>
          <w:rFonts w:ascii="Calibri" w:hAnsi="Calibri" w:cs="Calibri"/>
          <w:sz w:val="22"/>
          <w:szCs w:val="22"/>
        </w:rPr>
        <w:t xml:space="preserve"> (1.1.B)</w:t>
      </w:r>
    </w:p>
    <w:p w14:paraId="1A0529DC" w14:textId="334ADE55" w:rsidR="00432171" w:rsidRPr="00065064" w:rsidRDefault="00432171" w:rsidP="00432171">
      <w:pPr>
        <w:pStyle w:val="xmsonormal"/>
        <w:ind w:left="720"/>
        <w:rPr>
          <w:rFonts w:ascii="Calibri" w:hAnsi="Calibri" w:cs="Calibri"/>
          <w:sz w:val="22"/>
          <w:szCs w:val="22"/>
          <w:lang w:val="en-GB"/>
        </w:rPr>
      </w:pPr>
      <w:r w:rsidRPr="00065064">
        <w:rPr>
          <w:rFonts w:ascii="Calibri" w:hAnsi="Calibri" w:cs="Calibri"/>
          <w:sz w:val="22"/>
          <w:szCs w:val="22"/>
        </w:rPr>
        <w:t xml:space="preserve">50% for </w:t>
      </w:r>
      <w:r w:rsidR="00806538">
        <w:rPr>
          <w:rFonts w:ascii="Calibri" w:hAnsi="Calibri" w:cs="Calibri"/>
          <w:sz w:val="22"/>
          <w:szCs w:val="22"/>
        </w:rPr>
        <w:t xml:space="preserve">UCITS </w:t>
      </w:r>
      <w:r w:rsidRPr="00065064">
        <w:rPr>
          <w:rFonts w:ascii="Calibri" w:hAnsi="Calibri" w:cs="Calibri"/>
          <w:sz w:val="22"/>
          <w:szCs w:val="22"/>
        </w:rPr>
        <w:t>bond funds</w:t>
      </w:r>
      <w:r w:rsidR="008C294D">
        <w:rPr>
          <w:rFonts w:ascii="Calibri" w:hAnsi="Calibri" w:cs="Calibri"/>
          <w:sz w:val="22"/>
          <w:szCs w:val="22"/>
        </w:rPr>
        <w:t xml:space="preserve"> (1.1.C)</w:t>
      </w:r>
    </w:p>
    <w:p w14:paraId="5323AE71" w14:textId="7720D943" w:rsidR="00E20091" w:rsidRPr="00065064" w:rsidRDefault="00E20091" w:rsidP="00E20091">
      <w:pPr>
        <w:pStyle w:val="xmsonormal"/>
        <w:ind w:left="720"/>
        <w:rPr>
          <w:rFonts w:ascii="Calibri" w:hAnsi="Calibri" w:cs="Calibri"/>
          <w:sz w:val="22"/>
          <w:szCs w:val="22"/>
          <w:lang w:val="en-GB"/>
        </w:rPr>
      </w:pPr>
      <w:r w:rsidRPr="00065064">
        <w:rPr>
          <w:rFonts w:ascii="Calibri" w:hAnsi="Calibri" w:cs="Calibri"/>
          <w:sz w:val="22"/>
          <w:szCs w:val="22"/>
        </w:rPr>
        <w:t xml:space="preserve">50% for </w:t>
      </w:r>
      <w:r w:rsidR="00806538">
        <w:rPr>
          <w:rFonts w:ascii="Calibri" w:hAnsi="Calibri" w:cs="Calibri"/>
          <w:sz w:val="22"/>
          <w:szCs w:val="22"/>
        </w:rPr>
        <w:t xml:space="preserve">UCITS </w:t>
      </w:r>
      <w:r w:rsidRPr="00065064">
        <w:rPr>
          <w:rFonts w:ascii="Calibri" w:hAnsi="Calibri" w:cs="Calibri"/>
          <w:sz w:val="22"/>
          <w:szCs w:val="22"/>
        </w:rPr>
        <w:t>mixed funds </w:t>
      </w:r>
      <w:r w:rsidR="008C294D">
        <w:rPr>
          <w:rFonts w:ascii="Calibri" w:hAnsi="Calibri" w:cs="Calibri"/>
          <w:sz w:val="22"/>
          <w:szCs w:val="22"/>
        </w:rPr>
        <w:t xml:space="preserve"> (1.1.D)</w:t>
      </w:r>
    </w:p>
    <w:p w14:paraId="1AE816DF" w14:textId="77777777" w:rsidR="00E20091" w:rsidRPr="00065064" w:rsidRDefault="00E20091" w:rsidP="00E20091">
      <w:pPr>
        <w:ind w:left="720"/>
        <w:rPr>
          <w:rFonts w:ascii="Calibri" w:hAnsi="Calibri" w:cs="Calibri"/>
          <w:sz w:val="22"/>
          <w:szCs w:val="22"/>
          <w:lang w:val="en-GB"/>
        </w:rPr>
      </w:pPr>
    </w:p>
    <w:p w14:paraId="54C2191D" w14:textId="77777777" w:rsidR="00E20091" w:rsidRPr="00065064" w:rsidRDefault="00E20091" w:rsidP="00E20091">
      <w:pPr>
        <w:pStyle w:val="xmsonormal"/>
        <w:ind w:left="720"/>
        <w:rPr>
          <w:rFonts w:ascii="Calibri" w:hAnsi="Calibri" w:cs="Calibri"/>
          <w:sz w:val="22"/>
          <w:szCs w:val="22"/>
          <w:lang w:val="en-GB"/>
        </w:rPr>
      </w:pPr>
    </w:p>
    <w:p w14:paraId="354A5EE7" w14:textId="77777777" w:rsidR="00E20091" w:rsidRPr="00065064" w:rsidRDefault="00E20091"/>
    <w:sectPr w:rsidR="00E20091" w:rsidRPr="00065064">
      <w:footerReference w:type="default" r:id="rId10"/>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F869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CB4C5" w14:textId="77777777" w:rsidR="00E2250F" w:rsidRDefault="00E2250F" w:rsidP="00432171">
      <w:r>
        <w:separator/>
      </w:r>
    </w:p>
  </w:endnote>
  <w:endnote w:type="continuationSeparator" w:id="0">
    <w:p w14:paraId="2AB49596" w14:textId="77777777" w:rsidR="00E2250F" w:rsidRDefault="00E2250F" w:rsidP="0043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568146"/>
      <w:docPartObj>
        <w:docPartGallery w:val="Page Numbers (Bottom of Page)"/>
        <w:docPartUnique/>
      </w:docPartObj>
    </w:sdtPr>
    <w:sdtEndPr>
      <w:rPr>
        <w:noProof/>
      </w:rPr>
    </w:sdtEndPr>
    <w:sdtContent>
      <w:p w14:paraId="3A704CB5" w14:textId="32D9B735" w:rsidR="00432171" w:rsidRDefault="00432171">
        <w:pPr>
          <w:pStyle w:val="Footer"/>
          <w:jc w:val="center"/>
        </w:pPr>
        <w:r>
          <w:fldChar w:fldCharType="begin"/>
        </w:r>
        <w:r>
          <w:instrText xml:space="preserve"> PAGE   \* MERGEFORMAT </w:instrText>
        </w:r>
        <w:r>
          <w:fldChar w:fldCharType="separate"/>
        </w:r>
        <w:r w:rsidR="00B42C48">
          <w:rPr>
            <w:noProof/>
          </w:rPr>
          <w:t>1</w:t>
        </w:r>
        <w:r>
          <w:rPr>
            <w:noProof/>
          </w:rPr>
          <w:fldChar w:fldCharType="end"/>
        </w:r>
      </w:p>
    </w:sdtContent>
  </w:sdt>
  <w:p w14:paraId="013B8736" w14:textId="77777777" w:rsidR="00432171" w:rsidRDefault="00432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AFA65" w14:textId="77777777" w:rsidR="00E2250F" w:rsidRDefault="00E2250F" w:rsidP="00432171">
      <w:r>
        <w:separator/>
      </w:r>
    </w:p>
  </w:footnote>
  <w:footnote w:type="continuationSeparator" w:id="0">
    <w:p w14:paraId="666D3BC6" w14:textId="77777777" w:rsidR="00E2250F" w:rsidRDefault="00E2250F" w:rsidP="00432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D6B02"/>
    <w:multiLevelType w:val="hybridMultilevel"/>
    <w:tmpl w:val="FC7A5862"/>
    <w:lvl w:ilvl="0" w:tplc="B1687B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HL Ulrike (FISMA)">
    <w15:presenceInfo w15:providerId="AD" w15:userId="S-1-5-21-1606980848-2025429265-839522115-954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20091"/>
    <w:rsid w:val="00065064"/>
    <w:rsid w:val="003329DC"/>
    <w:rsid w:val="00387AE8"/>
    <w:rsid w:val="00432171"/>
    <w:rsid w:val="004C4437"/>
    <w:rsid w:val="005637E5"/>
    <w:rsid w:val="005C0671"/>
    <w:rsid w:val="006512BF"/>
    <w:rsid w:val="00806538"/>
    <w:rsid w:val="008C294D"/>
    <w:rsid w:val="00912187"/>
    <w:rsid w:val="00B31C6F"/>
    <w:rsid w:val="00B42C48"/>
    <w:rsid w:val="00CA53A5"/>
    <w:rsid w:val="00DF5B45"/>
    <w:rsid w:val="00E20091"/>
    <w:rsid w:val="00E2250F"/>
    <w:rsid w:val="00EA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091"/>
  </w:style>
  <w:style w:type="paragraph" w:customStyle="1" w:styleId="xmsonormal">
    <w:name w:val="x_msonormal"/>
    <w:basedOn w:val="Normal"/>
    <w:uiPriority w:val="99"/>
    <w:semiHidden/>
    <w:rsid w:val="00E20091"/>
  </w:style>
  <w:style w:type="paragraph" w:styleId="Date">
    <w:name w:val="Date"/>
    <w:basedOn w:val="Normal"/>
    <w:next w:val="References"/>
    <w:link w:val="DateChar"/>
    <w:uiPriority w:val="99"/>
    <w:rsid w:val="00E20091"/>
    <w:pPr>
      <w:ind w:left="5103" w:right="-567"/>
    </w:pPr>
    <w:rPr>
      <w:rFonts w:eastAsia="Times New Roman"/>
      <w:szCs w:val="20"/>
      <w:lang w:val="en-GB"/>
    </w:rPr>
  </w:style>
  <w:style w:type="character" w:customStyle="1" w:styleId="DateChar">
    <w:name w:val="Date Char"/>
    <w:basedOn w:val="DefaultParagraphFont"/>
    <w:link w:val="Date"/>
    <w:uiPriority w:val="99"/>
    <w:rsid w:val="00E20091"/>
    <w:rPr>
      <w:rFonts w:ascii="Times New Roman" w:eastAsia="Times New Roman" w:hAnsi="Times New Roman" w:cs="Times New Roman"/>
      <w:sz w:val="24"/>
      <w:szCs w:val="20"/>
      <w:lang w:val="en-GB"/>
    </w:rPr>
  </w:style>
  <w:style w:type="paragraph" w:customStyle="1" w:styleId="References">
    <w:name w:val="References"/>
    <w:basedOn w:val="Normal"/>
    <w:next w:val="Normal"/>
    <w:uiPriority w:val="99"/>
    <w:rsid w:val="00E20091"/>
    <w:pPr>
      <w:spacing w:after="240"/>
      <w:ind w:left="5103"/>
    </w:pPr>
    <w:rPr>
      <w:rFonts w:eastAsia="Times New Roman"/>
      <w:sz w:val="20"/>
      <w:szCs w:val="20"/>
      <w:lang w:val="en-GB"/>
    </w:rPr>
  </w:style>
  <w:style w:type="paragraph" w:customStyle="1" w:styleId="ZCom">
    <w:name w:val="Z_Com"/>
    <w:basedOn w:val="Normal"/>
    <w:next w:val="ZDGName"/>
    <w:uiPriority w:val="99"/>
    <w:rsid w:val="00E20091"/>
    <w:pPr>
      <w:widowControl w:val="0"/>
      <w:autoSpaceDE w:val="0"/>
      <w:autoSpaceDN w:val="0"/>
      <w:ind w:right="85"/>
      <w:jc w:val="both"/>
    </w:pPr>
    <w:rPr>
      <w:rFonts w:ascii="Arial" w:eastAsiaTheme="minorEastAsia" w:hAnsi="Arial" w:cs="Arial"/>
      <w:lang w:val="en-GB" w:eastAsia="en-GB"/>
    </w:rPr>
  </w:style>
  <w:style w:type="paragraph" w:customStyle="1" w:styleId="ZDGName">
    <w:name w:val="Z_DGName"/>
    <w:basedOn w:val="Normal"/>
    <w:uiPriority w:val="99"/>
    <w:rsid w:val="00E20091"/>
    <w:pPr>
      <w:widowControl w:val="0"/>
      <w:autoSpaceDE w:val="0"/>
      <w:autoSpaceDN w:val="0"/>
      <w:ind w:right="85"/>
    </w:pPr>
    <w:rPr>
      <w:rFonts w:ascii="Arial" w:eastAsiaTheme="minorEastAsia" w:hAnsi="Arial" w:cs="Arial"/>
      <w:sz w:val="16"/>
      <w:szCs w:val="16"/>
      <w:lang w:val="en-GB" w:eastAsia="en-GB"/>
    </w:rPr>
  </w:style>
  <w:style w:type="character" w:customStyle="1" w:styleId="field-view">
    <w:name w:val="field-view"/>
    <w:basedOn w:val="DefaultParagraphFont"/>
    <w:rsid w:val="00E20091"/>
  </w:style>
  <w:style w:type="paragraph" w:styleId="Header">
    <w:name w:val="header"/>
    <w:basedOn w:val="Normal"/>
    <w:link w:val="HeaderChar"/>
    <w:uiPriority w:val="99"/>
    <w:unhideWhenUsed/>
    <w:rsid w:val="00432171"/>
    <w:pPr>
      <w:tabs>
        <w:tab w:val="center" w:pos="4680"/>
        <w:tab w:val="right" w:pos="9360"/>
      </w:tabs>
    </w:pPr>
  </w:style>
  <w:style w:type="character" w:customStyle="1" w:styleId="HeaderChar">
    <w:name w:val="Header Char"/>
    <w:basedOn w:val="DefaultParagraphFont"/>
    <w:link w:val="Header"/>
    <w:uiPriority w:val="99"/>
    <w:rsid w:val="00432171"/>
    <w:rPr>
      <w:rFonts w:ascii="Times New Roman" w:hAnsi="Times New Roman" w:cs="Times New Roman"/>
      <w:sz w:val="24"/>
      <w:szCs w:val="24"/>
    </w:rPr>
  </w:style>
  <w:style w:type="paragraph" w:styleId="Footer">
    <w:name w:val="footer"/>
    <w:basedOn w:val="Normal"/>
    <w:link w:val="FooterChar"/>
    <w:uiPriority w:val="99"/>
    <w:unhideWhenUsed/>
    <w:rsid w:val="00432171"/>
    <w:pPr>
      <w:tabs>
        <w:tab w:val="center" w:pos="4680"/>
        <w:tab w:val="right" w:pos="9360"/>
      </w:tabs>
    </w:pPr>
  </w:style>
  <w:style w:type="character" w:customStyle="1" w:styleId="FooterChar">
    <w:name w:val="Footer Char"/>
    <w:basedOn w:val="DefaultParagraphFont"/>
    <w:link w:val="Footer"/>
    <w:uiPriority w:val="99"/>
    <w:rsid w:val="0043217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87AE8"/>
    <w:rPr>
      <w:rFonts w:ascii="Tahoma" w:hAnsi="Tahoma" w:cs="Tahoma"/>
      <w:sz w:val="16"/>
      <w:szCs w:val="16"/>
    </w:rPr>
  </w:style>
  <w:style w:type="character" w:customStyle="1" w:styleId="BalloonTextChar">
    <w:name w:val="Balloon Text Char"/>
    <w:basedOn w:val="DefaultParagraphFont"/>
    <w:link w:val="BalloonText"/>
    <w:uiPriority w:val="99"/>
    <w:semiHidden/>
    <w:rsid w:val="00387AE8"/>
    <w:rPr>
      <w:rFonts w:ascii="Tahoma" w:hAnsi="Tahoma" w:cs="Tahoma"/>
      <w:sz w:val="16"/>
      <w:szCs w:val="16"/>
    </w:rPr>
  </w:style>
  <w:style w:type="character" w:styleId="CommentReference">
    <w:name w:val="annotation reference"/>
    <w:basedOn w:val="DefaultParagraphFont"/>
    <w:uiPriority w:val="99"/>
    <w:semiHidden/>
    <w:unhideWhenUsed/>
    <w:rsid w:val="00806538"/>
    <w:rPr>
      <w:sz w:val="16"/>
      <w:szCs w:val="16"/>
    </w:rPr>
  </w:style>
  <w:style w:type="paragraph" w:styleId="CommentText">
    <w:name w:val="annotation text"/>
    <w:basedOn w:val="Normal"/>
    <w:link w:val="CommentTextChar"/>
    <w:uiPriority w:val="99"/>
    <w:semiHidden/>
    <w:unhideWhenUsed/>
    <w:rsid w:val="00806538"/>
    <w:rPr>
      <w:sz w:val="20"/>
      <w:szCs w:val="20"/>
    </w:rPr>
  </w:style>
  <w:style w:type="character" w:customStyle="1" w:styleId="CommentTextChar">
    <w:name w:val="Comment Text Char"/>
    <w:basedOn w:val="DefaultParagraphFont"/>
    <w:link w:val="CommentText"/>
    <w:uiPriority w:val="99"/>
    <w:semiHidden/>
    <w:rsid w:val="0080653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6538"/>
    <w:rPr>
      <w:b/>
      <w:bCs/>
    </w:rPr>
  </w:style>
  <w:style w:type="character" w:customStyle="1" w:styleId="CommentSubjectChar">
    <w:name w:val="Comment Subject Char"/>
    <w:basedOn w:val="CommentTextChar"/>
    <w:link w:val="CommentSubject"/>
    <w:uiPriority w:val="99"/>
    <w:semiHidden/>
    <w:rsid w:val="00806538"/>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091"/>
  </w:style>
  <w:style w:type="paragraph" w:customStyle="1" w:styleId="xmsonormal">
    <w:name w:val="x_msonormal"/>
    <w:basedOn w:val="Normal"/>
    <w:uiPriority w:val="99"/>
    <w:semiHidden/>
    <w:rsid w:val="00E20091"/>
  </w:style>
  <w:style w:type="paragraph" w:styleId="Date">
    <w:name w:val="Date"/>
    <w:basedOn w:val="Normal"/>
    <w:next w:val="References"/>
    <w:link w:val="DateChar"/>
    <w:uiPriority w:val="99"/>
    <w:rsid w:val="00E20091"/>
    <w:pPr>
      <w:ind w:left="5103" w:right="-567"/>
    </w:pPr>
    <w:rPr>
      <w:rFonts w:eastAsia="Times New Roman"/>
      <w:szCs w:val="20"/>
      <w:lang w:val="en-GB"/>
    </w:rPr>
  </w:style>
  <w:style w:type="character" w:customStyle="1" w:styleId="DateChar">
    <w:name w:val="Date Char"/>
    <w:basedOn w:val="DefaultParagraphFont"/>
    <w:link w:val="Date"/>
    <w:uiPriority w:val="99"/>
    <w:rsid w:val="00E20091"/>
    <w:rPr>
      <w:rFonts w:ascii="Times New Roman" w:eastAsia="Times New Roman" w:hAnsi="Times New Roman" w:cs="Times New Roman"/>
      <w:sz w:val="24"/>
      <w:szCs w:val="20"/>
      <w:lang w:val="en-GB"/>
    </w:rPr>
  </w:style>
  <w:style w:type="paragraph" w:customStyle="1" w:styleId="References">
    <w:name w:val="References"/>
    <w:basedOn w:val="Normal"/>
    <w:next w:val="Normal"/>
    <w:uiPriority w:val="99"/>
    <w:rsid w:val="00E20091"/>
    <w:pPr>
      <w:spacing w:after="240"/>
      <w:ind w:left="5103"/>
    </w:pPr>
    <w:rPr>
      <w:rFonts w:eastAsia="Times New Roman"/>
      <w:sz w:val="20"/>
      <w:szCs w:val="20"/>
      <w:lang w:val="en-GB"/>
    </w:rPr>
  </w:style>
  <w:style w:type="paragraph" w:customStyle="1" w:styleId="ZCom">
    <w:name w:val="Z_Com"/>
    <w:basedOn w:val="Normal"/>
    <w:next w:val="ZDGName"/>
    <w:uiPriority w:val="99"/>
    <w:rsid w:val="00E20091"/>
    <w:pPr>
      <w:widowControl w:val="0"/>
      <w:autoSpaceDE w:val="0"/>
      <w:autoSpaceDN w:val="0"/>
      <w:ind w:right="85"/>
      <w:jc w:val="both"/>
    </w:pPr>
    <w:rPr>
      <w:rFonts w:ascii="Arial" w:eastAsiaTheme="minorEastAsia" w:hAnsi="Arial" w:cs="Arial"/>
      <w:lang w:val="en-GB" w:eastAsia="en-GB"/>
    </w:rPr>
  </w:style>
  <w:style w:type="paragraph" w:customStyle="1" w:styleId="ZDGName">
    <w:name w:val="Z_DGName"/>
    <w:basedOn w:val="Normal"/>
    <w:uiPriority w:val="99"/>
    <w:rsid w:val="00E20091"/>
    <w:pPr>
      <w:widowControl w:val="0"/>
      <w:autoSpaceDE w:val="0"/>
      <w:autoSpaceDN w:val="0"/>
      <w:ind w:right="85"/>
    </w:pPr>
    <w:rPr>
      <w:rFonts w:ascii="Arial" w:eastAsiaTheme="minorEastAsia" w:hAnsi="Arial" w:cs="Arial"/>
      <w:sz w:val="16"/>
      <w:szCs w:val="16"/>
      <w:lang w:val="en-GB" w:eastAsia="en-GB"/>
    </w:rPr>
  </w:style>
  <w:style w:type="character" w:customStyle="1" w:styleId="field-view">
    <w:name w:val="field-view"/>
    <w:basedOn w:val="DefaultParagraphFont"/>
    <w:rsid w:val="00E20091"/>
  </w:style>
  <w:style w:type="paragraph" w:styleId="Header">
    <w:name w:val="header"/>
    <w:basedOn w:val="Normal"/>
    <w:link w:val="HeaderChar"/>
    <w:uiPriority w:val="99"/>
    <w:unhideWhenUsed/>
    <w:rsid w:val="00432171"/>
    <w:pPr>
      <w:tabs>
        <w:tab w:val="center" w:pos="4680"/>
        <w:tab w:val="right" w:pos="9360"/>
      </w:tabs>
    </w:pPr>
  </w:style>
  <w:style w:type="character" w:customStyle="1" w:styleId="HeaderChar">
    <w:name w:val="Header Char"/>
    <w:basedOn w:val="DefaultParagraphFont"/>
    <w:link w:val="Header"/>
    <w:uiPriority w:val="99"/>
    <w:rsid w:val="00432171"/>
    <w:rPr>
      <w:rFonts w:ascii="Times New Roman" w:hAnsi="Times New Roman" w:cs="Times New Roman"/>
      <w:sz w:val="24"/>
      <w:szCs w:val="24"/>
    </w:rPr>
  </w:style>
  <w:style w:type="paragraph" w:styleId="Footer">
    <w:name w:val="footer"/>
    <w:basedOn w:val="Normal"/>
    <w:link w:val="FooterChar"/>
    <w:uiPriority w:val="99"/>
    <w:unhideWhenUsed/>
    <w:rsid w:val="00432171"/>
    <w:pPr>
      <w:tabs>
        <w:tab w:val="center" w:pos="4680"/>
        <w:tab w:val="right" w:pos="9360"/>
      </w:tabs>
    </w:pPr>
  </w:style>
  <w:style w:type="character" w:customStyle="1" w:styleId="FooterChar">
    <w:name w:val="Footer Char"/>
    <w:basedOn w:val="DefaultParagraphFont"/>
    <w:link w:val="Footer"/>
    <w:uiPriority w:val="99"/>
    <w:rsid w:val="0043217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87AE8"/>
    <w:rPr>
      <w:rFonts w:ascii="Tahoma" w:hAnsi="Tahoma" w:cs="Tahoma"/>
      <w:sz w:val="16"/>
      <w:szCs w:val="16"/>
    </w:rPr>
  </w:style>
  <w:style w:type="character" w:customStyle="1" w:styleId="BalloonTextChar">
    <w:name w:val="Balloon Text Char"/>
    <w:basedOn w:val="DefaultParagraphFont"/>
    <w:link w:val="BalloonText"/>
    <w:uiPriority w:val="99"/>
    <w:semiHidden/>
    <w:rsid w:val="00387AE8"/>
    <w:rPr>
      <w:rFonts w:ascii="Tahoma" w:hAnsi="Tahoma" w:cs="Tahoma"/>
      <w:sz w:val="16"/>
      <w:szCs w:val="16"/>
    </w:rPr>
  </w:style>
  <w:style w:type="character" w:styleId="CommentReference">
    <w:name w:val="annotation reference"/>
    <w:basedOn w:val="DefaultParagraphFont"/>
    <w:uiPriority w:val="99"/>
    <w:semiHidden/>
    <w:unhideWhenUsed/>
    <w:rsid w:val="00806538"/>
    <w:rPr>
      <w:sz w:val="16"/>
      <w:szCs w:val="16"/>
    </w:rPr>
  </w:style>
  <w:style w:type="paragraph" w:styleId="CommentText">
    <w:name w:val="annotation text"/>
    <w:basedOn w:val="Normal"/>
    <w:link w:val="CommentTextChar"/>
    <w:uiPriority w:val="99"/>
    <w:semiHidden/>
    <w:unhideWhenUsed/>
    <w:rsid w:val="00806538"/>
    <w:rPr>
      <w:sz w:val="20"/>
      <w:szCs w:val="20"/>
    </w:rPr>
  </w:style>
  <w:style w:type="character" w:customStyle="1" w:styleId="CommentTextChar">
    <w:name w:val="Comment Text Char"/>
    <w:basedOn w:val="DefaultParagraphFont"/>
    <w:link w:val="CommentText"/>
    <w:uiPriority w:val="99"/>
    <w:semiHidden/>
    <w:rsid w:val="0080653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6538"/>
    <w:rPr>
      <w:b/>
      <w:bCs/>
    </w:rPr>
  </w:style>
  <w:style w:type="character" w:customStyle="1" w:styleId="CommentSubjectChar">
    <w:name w:val="Comment Subject Char"/>
    <w:basedOn w:val="CommentTextChar"/>
    <w:link w:val="CommentSubject"/>
    <w:uiPriority w:val="99"/>
    <w:semiHidden/>
    <w:rsid w:val="0080653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0B13-E296-481D-9DB7-5761002C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Dodd</dc:creator>
  <cp:lastModifiedBy>DODD Nicholas (JRC-SEVILLA)</cp:lastModifiedBy>
  <cp:revision>3</cp:revision>
  <dcterms:created xsi:type="dcterms:W3CDTF">2020-11-11T16:06:00Z</dcterms:created>
  <dcterms:modified xsi:type="dcterms:W3CDTF">2020-11-11T16:06:00Z</dcterms:modified>
</cp:coreProperties>
</file>